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120" w:after="283"/>
        <w:jc w:val="left"/>
        <w:rPr>
          <w:rFonts w:ascii="Times New Roman;serif" w:hAnsi="Times New Roman;serif"/>
          <w:b/>
          <w:color w:val="000000"/>
          <w:sz w:val="16"/>
        </w:rPr>
      </w:pPr>
      <w:r>
        <w:rPr>
          <w:rFonts w:ascii="Times New Roman;serif" w:hAnsi="Times New Roman;serif"/>
          <w:b/>
          <w:color w:val="000000"/>
          <w:sz w:val="16"/>
        </w:rPr>
        <w:t>(Mark One)</w:t>
      </w:r>
    </w:p>
    <w:tbl>
      <w:tblPr>
        <w:tblW w:w="9026" w:type="dxa"/>
        <w:jc w:val="left"/>
        <w:tblInd w:w="0" w:type="dxa"/>
        <w:tblLayout w:type="fixed"/>
        <w:tblCellMar>
          <w:top w:w="28" w:type="dxa"/>
          <w:left w:w="28" w:type="dxa"/>
          <w:bottom w:w="28" w:type="dxa"/>
          <w:right w:w="28" w:type="dxa"/>
        </w:tblCellMar>
      </w:tblPr>
      <w:tblGrid>
        <w:gridCol w:w="124"/>
        <w:gridCol w:w="109"/>
        <w:gridCol w:w="109"/>
        <w:gridCol w:w="2538"/>
        <w:gridCol w:w="2538"/>
        <w:gridCol w:w="36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120" w:after="283"/>
              <w:jc w:val="left"/>
              <w:rPr>
                <w:color w:val="000000"/>
              </w:rPr>
            </w:pPr>
            <w:r>
              <w:rPr>
                <w:color w:val="000000"/>
              </w:rPr>
              <w:t>☒</w:t>
            </w:r>
          </w:p>
        </w:tc>
        <w:tc>
          <w:tcPr>
            <w:tcW w:w="868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16"/>
              </w:rPr>
            </w:pPr>
            <w:r>
              <w:rPr>
                <w:rFonts w:ascii="Times New Roman;serif" w:hAnsi="Times New Roman;serif"/>
                <w:b/>
                <w:color w:val="000000"/>
                <w:sz w:val="16"/>
              </w:rPr>
              <w:t>QUARTERLY REPORT PURSUANT TO SECTION 13 OR 15(d) OF THE SECURITIES EXCHANGE ACT OF 1934</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OR</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120" w:after="283"/>
              <w:jc w:val="left"/>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Commission File Number: 001-40502</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120" w:after="283"/>
        <w:jc w:val="center"/>
        <w:rPr>
          <w:rFonts w:ascii="Times New Roman;serif" w:hAnsi="Times New Roman;serif"/>
          <w:b/>
          <w:color w:val="000000"/>
          <w:sz w:val="40"/>
        </w:rPr>
      </w:pPr>
      <w:r>
        <w:rPr>
          <w:rFonts w:ascii="Times New Roman;serif" w:hAnsi="Times New Roman;serif"/>
          <w:b/>
          <w:color w:val="000000"/>
          <w:sz w:val="40"/>
        </w:rPr>
        <w:t>Lyell Immunopharma,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tbl>
      <w:tblPr>
        <w:tblW w:w="4560" w:type="dxa"/>
        <w:jc w:val="left"/>
        <w:tblInd w:w="0" w:type="dxa"/>
        <w:tblLayout w:type="fixed"/>
        <w:tblCellMar>
          <w:top w:w="28" w:type="dxa"/>
          <w:left w:w="28" w:type="dxa"/>
          <w:bottom w:w="28" w:type="dxa"/>
          <w:right w:w="28" w:type="dxa"/>
        </w:tblCellMar>
      </w:tblPr>
      <w:tblGrid>
        <w:gridCol w:w="861"/>
        <w:gridCol w:w="758"/>
        <w:gridCol w:w="766"/>
        <w:gridCol w:w="637"/>
        <w:gridCol w:w="637"/>
        <w:gridCol w:w="901"/>
      </w:tblGrid>
      <w:tr>
        <w:trPr/>
        <w:tc>
          <w:tcPr>
            <w:tcW w:w="86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4"/>
              </w:rPr>
            </w:pPr>
            <w:r>
              <w:rPr>
                <w:rFonts w:ascii="Times New Roman;serif" w:hAnsi="Times New Roman;serif"/>
                <w:b/>
                <w:color w:val="000000"/>
                <w:sz w:val="14"/>
              </w:rPr>
              <w:t>Delaware</w:t>
            </w:r>
          </w:p>
        </w:tc>
        <w:tc>
          <w:tcPr>
            <w:tcW w:w="2175"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4"/>
              </w:rPr>
            </w:pPr>
            <w:r>
              <w:rPr>
                <w:rFonts w:ascii="Times New Roman;serif" w:hAnsi="Times New Roman;serif"/>
                <w:b/>
                <w:color w:val="000000"/>
                <w:sz w:val="14"/>
              </w:rPr>
              <w:t>83-1300510</w:t>
            </w:r>
          </w:p>
        </w:tc>
      </w:tr>
      <w:tr>
        <w:trPr/>
        <w:tc>
          <w:tcPr>
            <w:tcW w:w="2385"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val="false"/>
                <w:color w:val="000000"/>
                <w:sz w:val="14"/>
              </w:rPr>
            </w:pPr>
            <w:r>
              <w:rPr>
                <w:rFonts w:ascii="Times New Roman;serif" w:hAnsi="Times New Roman;serif"/>
                <w:b w:val="false"/>
                <w:color w:val="000000"/>
                <w:sz w:val="14"/>
              </w:rPr>
              <w:t>(State or other jurisdiction of</w:t>
            </w:r>
          </w:p>
          <w:p>
            <w:pPr>
              <w:pStyle w:val="TableContents"/>
              <w:bidi w:val="0"/>
              <w:spacing w:lineRule="auto" w:line="312" w:before="0" w:after="15"/>
              <w:jc w:val="center"/>
              <w:rPr>
                <w:rFonts w:ascii="Times New Roman;serif" w:hAnsi="Times New Roman;serif"/>
                <w:b w:val="false"/>
                <w:color w:val="000000"/>
                <w:sz w:val="14"/>
              </w:rPr>
            </w:pPr>
            <w:r>
              <w:rPr>
                <w:rFonts w:ascii="Times New Roman;serif" w:hAnsi="Times New Roman;serif"/>
                <w:b w:val="false"/>
                <w:color w:val="000000"/>
                <w:sz w:val="14"/>
              </w:rPr>
              <w:t>incorporation or organization)</w:t>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(I.R.S. Employer Identification No.)</w:t>
            </w:r>
          </w:p>
        </w:tc>
      </w:tr>
      <w:tr>
        <w:trPr/>
        <w:tc>
          <w:tcPr>
            <w:tcW w:w="2385" w:type="dxa"/>
            <w:gridSpan w:val="3"/>
            <w:tcBorders/>
            <w:tcMar>
              <w:top w:w="0" w:type="dxa"/>
              <w:left w:w="0" w:type="dxa"/>
              <w:bottom w:w="0" w:type="dxa"/>
              <w:right w:w="0" w:type="dxa"/>
            </w:tcMar>
            <w:vAlign w:val="center"/>
          </w:tcPr>
          <w:p>
            <w:pPr>
              <w:pStyle w:val="TableContents"/>
              <w:bidi w:val="0"/>
              <w:spacing w:lineRule="auto" w:line="312" w:before="0" w:after="15"/>
              <w:jc w:val="center"/>
              <w:rPr>
                <w:rFonts w:ascii="Times New Roman;serif" w:hAnsi="Times New Roman;serif"/>
                <w:b/>
                <w:color w:val="000000"/>
                <w:sz w:val="14"/>
              </w:rPr>
            </w:pPr>
            <w:r>
              <w:rPr>
                <w:rFonts w:ascii="Times New Roman;serif" w:hAnsi="Times New Roman;serif"/>
                <w:b/>
                <w:color w:val="000000"/>
                <w:sz w:val="14"/>
              </w:rPr>
              <w:t>201 Haskins Way</w:t>
            </w:r>
          </w:p>
          <w:p>
            <w:pPr>
              <w:pStyle w:val="TableContents"/>
              <w:bidi w:val="0"/>
              <w:spacing w:lineRule="auto" w:line="312" w:before="0" w:after="15"/>
              <w:jc w:val="center"/>
              <w:rPr>
                <w:rFonts w:ascii="Times New Roman;serif" w:hAnsi="Times New Roman;serif"/>
                <w:b/>
                <w:color w:val="000000"/>
                <w:sz w:val="14"/>
              </w:rPr>
            </w:pPr>
            <w:r>
              <w:rPr>
                <w:rFonts w:ascii="Times New Roman;serif" w:hAnsi="Times New Roman;serif"/>
                <w:b/>
                <w:color w:val="000000"/>
                <w:sz w:val="14"/>
              </w:rPr>
              <w:t>South San Francisco, California</w:t>
            </w:r>
          </w:p>
        </w:tc>
        <w:tc>
          <w:tcPr>
            <w:tcW w:w="2175"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4"/>
              </w:rPr>
            </w:pPr>
            <w:r>
              <w:rPr>
                <w:rFonts w:ascii="Times New Roman;serif" w:hAnsi="Times New Roman;serif"/>
                <w:b/>
                <w:color w:val="000000"/>
                <w:sz w:val="14"/>
              </w:rPr>
              <w:t>94080</w:t>
            </w:r>
          </w:p>
        </w:tc>
      </w:tr>
      <w:tr>
        <w:trPr/>
        <w:tc>
          <w:tcPr>
            <w:tcW w:w="2385"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14"/>
              </w:rPr>
            </w:pPr>
            <w:r>
              <w:rPr>
                <w:rFonts w:ascii="Times New Roman;serif" w:hAnsi="Times New Roman;serif"/>
                <w:b w:val="false"/>
                <w:color w:val="000000"/>
                <w:sz w:val="14"/>
              </w:rPr>
              <w:t>(Address of principal executive offices)</w:t>
            </w:r>
          </w:p>
        </w:tc>
        <w:tc>
          <w:tcPr>
            <w:tcW w:w="2175"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14"/>
              </w:rPr>
            </w:pPr>
            <w:r>
              <w:rPr>
                <w:rFonts w:ascii="Times New Roman;serif" w:hAnsi="Times New Roman;serif"/>
                <w:b w:val="false"/>
                <w:color w:val="000000"/>
                <w:sz w:val="14"/>
              </w:rPr>
              <w:t>(Zip Code)</w:t>
            </w:r>
          </w:p>
        </w:tc>
      </w:tr>
    </w:tbl>
    <w:p>
      <w:pPr>
        <w:pStyle w:val="TextBody"/>
        <w:bidi w:val="0"/>
        <w:spacing w:lineRule="auto" w:line="288" w:before="80" w:after="283"/>
        <w:jc w:val="center"/>
        <w:rPr/>
      </w:pPr>
      <w:r>
        <w:rPr>
          <w:rFonts w:ascii="Times New Roman;serif" w:hAnsi="Times New Roman;serif"/>
          <w:b w:val="false"/>
          <w:color w:val="000000"/>
          <w:sz w:val="16"/>
        </w:rPr>
        <w:t>Registrant’s telephone number, including area code:</w:t>
      </w:r>
      <w:r>
        <w:rPr>
          <w:color w:val="000000"/>
        </w:rPr>
        <w:t xml:space="preserve"> </w:t>
      </w:r>
      <w:r>
        <w:rPr>
          <w:rFonts w:ascii="Times New Roman;serif" w:hAnsi="Times New Roman;serif"/>
          <w:b/>
          <w:color w:val="000000"/>
          <w:sz w:val="16"/>
        </w:rPr>
        <w:t>(650) 695-0677</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120" w:after="283"/>
        <w:ind w:left="0" w:right="0" w:firstLine="720"/>
        <w:jc w:val="center"/>
        <w:rPr>
          <w:rFonts w:ascii="Times New Roman;serif" w:hAnsi="Times New Roman;serif"/>
          <w:b w:val="false"/>
          <w:color w:val="000000"/>
          <w:sz w:val="16"/>
        </w:rPr>
      </w:pPr>
      <w:r>
        <w:rPr>
          <w:rFonts w:ascii="Times New Roman;serif" w:hAnsi="Times New Roman;serif"/>
          <w:b w:val="false"/>
          <w:color w:val="000000"/>
          <w:sz w:val="16"/>
        </w:rPr>
        <w:t xml:space="preserve">Securities registered pursuant to Section 12(b) of the Act: </w:t>
      </w:r>
    </w:p>
    <w:tbl>
      <w:tblPr>
        <w:tblW w:w="8661" w:type="dxa"/>
        <w:jc w:val="left"/>
        <w:tblInd w:w="0" w:type="dxa"/>
        <w:tblLayout w:type="fixed"/>
        <w:tblCellMar>
          <w:top w:w="28" w:type="dxa"/>
          <w:left w:w="28" w:type="dxa"/>
          <w:bottom w:w="28" w:type="dxa"/>
          <w:right w:w="28" w:type="dxa"/>
        </w:tblCellMar>
      </w:tblPr>
      <w:tblGrid>
        <w:gridCol w:w="1171"/>
        <w:gridCol w:w="1027"/>
        <w:gridCol w:w="1041"/>
        <w:gridCol w:w="109"/>
        <w:gridCol w:w="109"/>
        <w:gridCol w:w="109"/>
        <w:gridCol w:w="484"/>
        <w:gridCol w:w="484"/>
        <w:gridCol w:w="486"/>
        <w:gridCol w:w="109"/>
        <w:gridCol w:w="109"/>
        <w:gridCol w:w="109"/>
        <w:gridCol w:w="970"/>
        <w:gridCol w:w="970"/>
        <w:gridCol w:w="1374"/>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2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16"/>
              </w:rPr>
            </w:pPr>
            <w:r>
              <w:rPr>
                <w:rFonts w:ascii="Times New Roman;serif" w:hAnsi="Times New Roman;serif"/>
                <w:b w:val="false"/>
                <w:color w:val="000000"/>
                <w:sz w:val="16"/>
              </w:rPr>
              <w:t>LYEL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bl>
    <w:p>
      <w:pPr>
        <w:pStyle w:val="TextBody"/>
        <w:bidi w:val="0"/>
        <w:spacing w:lineRule="auto" w:line="288" w:before="12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12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89"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120" w:after="283"/>
              <w:jc w:val="left"/>
              <w:rPr/>
            </w:pPr>
            <w:r>
              <w:rPr/>
            </w:r>
          </w:p>
        </w:tc>
        <w:tc>
          <w:tcPr>
            <w:tcW w:w="202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312" w:before="120" w:after="283"/>
              <w:jc w:val="lef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lineRule="auto" w:line="288" w:before="0" w:after="0"/>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Yes ☐ No ☒</w:t>
      </w:r>
    </w:p>
    <w:p>
      <w:pPr>
        <w:pStyle w:val="TextBody"/>
        <w:bidi w:val="0"/>
        <w:spacing w:lineRule="auto" w:line="288" w:before="12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As of May 1, 2026, the registrant had 23,334,087 shares of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Lyell Immunopharma, Inc.</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146" w:type="dxa"/>
        <w:jc w:val="left"/>
        <w:tblInd w:w="0" w:type="dxa"/>
        <w:tblLayout w:type="fixed"/>
        <w:tblCellMar>
          <w:top w:w="28" w:type="dxa"/>
          <w:left w:w="28" w:type="dxa"/>
          <w:bottom w:w="28" w:type="dxa"/>
          <w:right w:w="28" w:type="dxa"/>
        </w:tblCellMar>
      </w:tblPr>
      <w:tblGrid>
        <w:gridCol w:w="824"/>
        <w:gridCol w:w="723"/>
        <w:gridCol w:w="723"/>
        <w:gridCol w:w="2439"/>
        <w:gridCol w:w="2439"/>
        <w:gridCol w:w="2487"/>
        <w:gridCol w:w="149"/>
        <w:gridCol w:w="149"/>
        <w:gridCol w:w="213"/>
      </w:tblGrid>
      <w:tr>
        <w:trPr/>
        <w:tc>
          <w:tcPr>
            <w:tcW w:w="82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35" w:type="dxa"/>
            <w:gridSpan w:val="6"/>
            <w:tcBorders/>
            <w:tcMar>
              <w:top w:w="0" w:type="dxa"/>
              <w:left w:w="0" w:type="dxa"/>
              <w:bottom w:w="0" w:type="dxa"/>
              <w:right w:w="0" w:type="dxa"/>
            </w:tcMar>
            <w:vAlign w:val="center"/>
          </w:tcPr>
          <w:p>
            <w:pPr>
              <w:pStyle w:val="TableContents"/>
              <w:bidi w:val="0"/>
              <w:spacing w:lineRule="auto" w:line="312" w:before="360" w:after="283"/>
              <w:jc w:val="left"/>
              <w:rPr/>
            </w:pPr>
            <w:hyperlink w:anchor="ie27772b0638d4574b521c86d23d7a409_10">
              <w:r>
                <w:rPr>
                  <w:rStyle w:val="InternetLink"/>
                  <w:rFonts w:ascii="Times New Roman;serif" w:hAnsi="Times New Roman;serif"/>
                  <w:b w:val="false"/>
                  <w:color w:val="0000FF"/>
                  <w:sz w:val="20"/>
                  <w:u w:val="single"/>
                </w:rPr>
                <w:t>Special Note Regarding Forward-Looking Statements</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e27772b0638d4574b521c86d23d7a409_10">
              <w:r>
                <w:rPr>
                  <w:rStyle w:val="InternetLink"/>
                  <w:rFonts w:ascii="Times New Roman;serif" w:hAnsi="Times New Roman;serif"/>
                  <w:b w:val="false"/>
                  <w:color w:val="0000FF"/>
                  <w:sz w:val="20"/>
                  <w:u w:val="single"/>
                </w:rPr>
                <w:t>1</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e27772b0638d4574b521c86d23d7a409_13">
              <w:r>
                <w:rPr>
                  <w:rStyle w:val="InternetLink"/>
                  <w:rFonts w:ascii="Times New Roman;serif" w:hAnsi="Times New Roman;serif"/>
                  <w:b/>
                  <w:color w:val="0000FF"/>
                  <w:sz w:val="20"/>
                  <w:u w:val="single"/>
                </w:rPr>
                <w:t>PART I—FINANCIAL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e27772b0638d4574b521c86d23d7a409_16">
              <w:r>
                <w:rPr>
                  <w:rStyle w:val="InternetLink"/>
                  <w:rFonts w:ascii="Times New Roman;serif" w:hAnsi="Times New Roman;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e27772b0638d4574b521c86d23d7a409_16">
              <w:r>
                <w:rPr>
                  <w:rStyle w:val="InternetLink"/>
                  <w:rFonts w:ascii="Times New Roman;serif" w:hAnsi="Times New Roman;serif"/>
                  <w:b w:val="false"/>
                  <w:color w:val="0000FF"/>
                  <w:sz w:val="20"/>
                  <w:u w:val="single"/>
                </w:rPr>
                <w:t>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7772b0638d4574b521c86d23d7a409_16">
              <w:r>
                <w:rPr>
                  <w:rStyle w:val="InternetLink"/>
                  <w:rFonts w:ascii="Times New Roman;serif" w:hAnsi="Times New Roman;serif"/>
                  <w:b w:val="false"/>
                  <w:color w:val="0000FF"/>
                  <w:sz w:val="20"/>
                  <w:u w:val="single"/>
                </w:rPr>
                <w:t>3</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e27772b0638d4574b521c86d23d7a409_19">
              <w:r>
                <w:rPr>
                  <w:rStyle w:val="InternetLink"/>
                  <w:rFonts w:ascii="Times New Roman;serif" w:hAnsi="Times New Roman;serif"/>
                  <w:b w:val="false"/>
                  <w:color w:val="0000FF"/>
                  <w:sz w:val="20"/>
                  <w:u w:val="single"/>
                </w:rPr>
                <w:t>Condensed 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7772b0638d4574b521c86d23d7a409_19">
              <w:r>
                <w:rPr>
                  <w:rStyle w:val="InternetLink"/>
                  <w:rFonts w:ascii="Times New Roman;serif" w:hAnsi="Times New Roman;serif"/>
                  <w:b w:val="false"/>
                  <w:color w:val="0000FF"/>
                  <w:sz w:val="20"/>
                  <w:u w:val="single"/>
                </w:rPr>
                <w:t>3</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e27772b0638d4574b521c86d23d7a409_25">
              <w:r>
                <w:rPr>
                  <w:rStyle w:val="InternetLink"/>
                  <w:rFonts w:ascii="Times New Roman;serif" w:hAnsi="Times New Roman;serif"/>
                  <w:b w:val="false"/>
                  <w:color w:val="0000FF"/>
                  <w:sz w:val="20"/>
                  <w:u w:val="single"/>
                </w:rPr>
                <w:t>Condensed Consolidated Statements of Operations and Comprehensive Loss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7772b0638d4574b521c86d23d7a409_25">
              <w:r>
                <w:rPr>
                  <w:rStyle w:val="InternetLink"/>
                  <w:rFonts w:ascii="Times New Roman;serif" w:hAnsi="Times New Roman;serif"/>
                  <w:b w:val="false"/>
                  <w:color w:val="0000FF"/>
                  <w:sz w:val="20"/>
                  <w:u w:val="single"/>
                </w:rPr>
                <w:t>4</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312" w:before="14" w:after="283"/>
              <w:jc w:val="left"/>
              <w:rPr/>
            </w:pPr>
            <w:hyperlink w:anchor="ie27772b0638d4574b521c86d23d7a409_31">
              <w:r>
                <w:rPr>
                  <w:rStyle w:val="InternetLink"/>
                  <w:rFonts w:ascii="Times New Roman;serif" w:hAnsi="Times New Roman;serif"/>
                  <w:b w:val="false"/>
                  <w:color w:val="0000FF"/>
                  <w:sz w:val="20"/>
                  <w:u w:val="single"/>
                </w:rPr>
                <w:t>Condensed Consolidated Statements of Stockholders</w:t>
              </w:r>
            </w:hyperlink>
            <w:hyperlink w:anchor="ie27772b0638d4574b521c86d23d7a409_31">
              <w:r>
                <w:rPr>
                  <w:rStyle w:val="InternetLink"/>
                  <w:color w:val="000080"/>
                  <w:u w:val="single"/>
                </w:rPr>
                <w:t>’</w:t>
              </w:r>
            </w:hyperlink>
            <w:hyperlink w:anchor="ie27772b0638d4574b521c86d23d7a409_31">
              <w:r>
                <w:rPr>
                  <w:rStyle w:val="InternetLink"/>
                  <w:color w:val="000080"/>
                  <w:u w:val="single"/>
                </w:rPr>
                <w:t xml:space="preserve"> </w:t>
              </w:r>
            </w:hyperlink>
            <w:hyperlink w:anchor="ie27772b0638d4574b521c86d23d7a409_31">
              <w:r>
                <w:rPr>
                  <w:rStyle w:val="InternetLink"/>
                  <w:rFonts w:ascii="Times New Roman;serif" w:hAnsi="Times New Roman;serif"/>
                  <w:b w:val="false"/>
                  <w:color w:val="0000FF"/>
                  <w:sz w:val="20"/>
                  <w:u w:val="single"/>
                </w:rPr>
                <w:t>Equity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7772b0638d4574b521c86d23d7a409_31">
              <w:r>
                <w:rPr>
                  <w:rStyle w:val="InternetLink"/>
                  <w:rFonts w:ascii="Times New Roman;serif" w:hAnsi="Times New Roman;serif"/>
                  <w:b w:val="false"/>
                  <w:color w:val="0000FF"/>
                  <w:sz w:val="20"/>
                  <w:u w:val="single"/>
                </w:rPr>
                <w:t>5</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e27772b0638d4574b521c86d23d7a409_40">
              <w:r>
                <w:rPr>
                  <w:rStyle w:val="InternetLink"/>
                  <w:rFonts w:ascii="Times New Roman;serif" w:hAnsi="Times New Roman;serif"/>
                  <w:b w:val="false"/>
                  <w:color w:val="0000FF"/>
                  <w:sz w:val="20"/>
                  <w:u w:val="singl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7772b0638d4574b521c86d23d7a409_40">
              <w:r>
                <w:rPr>
                  <w:rStyle w:val="InternetLink"/>
                  <w:rFonts w:ascii="Times New Roman;serif" w:hAnsi="Times New Roman;serif"/>
                  <w:b w:val="false"/>
                  <w:color w:val="0000FF"/>
                  <w:sz w:val="20"/>
                  <w:u w:val="single"/>
                </w:rPr>
                <w:t>6</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e27772b0638d4574b521c86d23d7a409_43">
              <w:r>
                <w:rPr>
                  <w:rStyle w:val="InternetLink"/>
                  <w:rFonts w:ascii="Times New Roman;serif" w:hAnsi="Times New Roman;serif"/>
                  <w:b w:val="false"/>
                  <w:color w:val="0000FF"/>
                  <w:sz w:val="20"/>
                  <w:u w:val="single"/>
                </w:rPr>
                <w:t>Notes to Unaudited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7772b0638d4574b521c86d23d7a409_43">
              <w:r>
                <w:rPr>
                  <w:rStyle w:val="InternetLink"/>
                  <w:rFonts w:ascii="Times New Roman;serif" w:hAnsi="Times New Roman;serif"/>
                  <w:b w:val="false"/>
                  <w:color w:val="0000FF"/>
                  <w:sz w:val="20"/>
                  <w:u w:val="single"/>
                </w:rPr>
                <w:t>7</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e27772b0638d4574b521c86d23d7a409_130">
              <w:r>
                <w:rPr>
                  <w:rStyle w:val="InternetLink"/>
                  <w:rFonts w:ascii="Times New Roman;serif" w:hAnsi="Times New Roman;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e27772b0638d4574b521c86d23d7a409_13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7772b0638d4574b521c86d23d7a409_130">
              <w:r>
                <w:rPr>
                  <w:rStyle w:val="InternetLink"/>
                  <w:rFonts w:ascii="Times New Roman;serif" w:hAnsi="Times New Roman;serif"/>
                  <w:b w:val="false"/>
                  <w:color w:val="0000FF"/>
                  <w:sz w:val="20"/>
                  <w:u w:val="single"/>
                </w:rPr>
                <w:t>20</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e27772b0638d4574b521c86d23d7a409_157">
              <w:r>
                <w:rPr>
                  <w:rStyle w:val="InternetLink"/>
                  <w:rFonts w:ascii="Times New Roman;serif" w:hAnsi="Times New Roman;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e27772b0638d4574b521c86d23d7a409_157">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7772b0638d4574b521c86d23d7a409_157">
              <w:r>
                <w:rPr>
                  <w:rStyle w:val="InternetLink"/>
                  <w:rFonts w:ascii="Times New Roman;serif" w:hAnsi="Times New Roman;serif"/>
                  <w:b w:val="false"/>
                  <w:color w:val="0000FF"/>
                  <w:sz w:val="20"/>
                  <w:u w:val="single"/>
                </w:rPr>
                <w:t>33</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e27772b0638d4574b521c86d23d7a409_160">
              <w:r>
                <w:rPr>
                  <w:rStyle w:val="InternetLink"/>
                  <w:rFonts w:ascii="Times New Roman;serif" w:hAnsi="Times New Roman;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e27772b0638d4574b521c86d23d7a409_160">
              <w:r>
                <w:rPr>
                  <w:rStyle w:val="InternetLink"/>
                  <w:rFonts w:ascii="Times New Roman;serif" w:hAnsi="Times New Roman;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7772b0638d4574b521c86d23d7a409_160">
              <w:r>
                <w:rPr>
                  <w:rStyle w:val="InternetLink"/>
                  <w:rFonts w:ascii="Times New Roman;serif" w:hAnsi="Times New Roman;serif"/>
                  <w:b w:val="false"/>
                  <w:color w:val="0000FF"/>
                  <w:sz w:val="20"/>
                  <w:u w:val="single"/>
                </w:rPr>
                <w:t>34</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e27772b0638d4574b521c86d23d7a409_163">
              <w:r>
                <w:rPr>
                  <w:rStyle w:val="InternetLink"/>
                  <w:rFonts w:ascii="Times New Roman;serif" w:hAnsi="Times New Roman;serif"/>
                  <w:b/>
                  <w:color w:val="0000FF"/>
                  <w:sz w:val="20"/>
                  <w:u w:val="single"/>
                </w:rPr>
                <w:t>PART II—OTHER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e27772b0638d4574b521c86d23d7a409_166">
              <w:r>
                <w:rPr>
                  <w:rStyle w:val="InternetLink"/>
                  <w:rFonts w:ascii="Times New Roman;serif" w:hAnsi="Times New Roman;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e27772b0638d4574b521c86d23d7a409_166">
              <w:r>
                <w:rPr>
                  <w:rStyle w:val="InternetLink"/>
                  <w:rFonts w:ascii="Times New Roman;serif" w:hAnsi="Times New Roman;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7772b0638d4574b521c86d23d7a409_166">
              <w:r>
                <w:rPr>
                  <w:rStyle w:val="InternetLink"/>
                  <w:rFonts w:ascii="Times New Roman;serif" w:hAnsi="Times New Roman;serif"/>
                  <w:b w:val="false"/>
                  <w:color w:val="0000FF"/>
                  <w:sz w:val="20"/>
                  <w:u w:val="single"/>
                </w:rPr>
                <w:t>35</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e27772b0638d4574b521c86d23d7a409_169">
              <w:r>
                <w:rPr>
                  <w:rStyle w:val="InternetLink"/>
                  <w:rFonts w:ascii="Times New Roman;serif" w:hAnsi="Times New Roman;serif"/>
                  <w:b w:val="false"/>
                  <w:color w:val="0000FF"/>
                  <w:sz w:val="20"/>
                  <w:u w:val="singl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e27772b0638d4574b521c86d23d7a409_169">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7772b0638d4574b521c86d23d7a409_169">
              <w:r>
                <w:rPr>
                  <w:rStyle w:val="InternetLink"/>
                  <w:rFonts w:ascii="Times New Roman;serif" w:hAnsi="Times New Roman;serif"/>
                  <w:b w:val="false"/>
                  <w:color w:val="0000FF"/>
                  <w:sz w:val="20"/>
                  <w:u w:val="single"/>
                </w:rPr>
                <w:t>35</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e27772b0638d4574b521c86d23d7a409_199">
              <w:r>
                <w:rPr>
                  <w:rStyle w:val="InternetLink"/>
                  <w:rFonts w:ascii="Times New Roman;serif" w:hAnsi="Times New Roman;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e27772b0638d4574b521c86d23d7a409_199">
              <w:r>
                <w:rPr>
                  <w:rStyle w:val="InternetLink"/>
                  <w:rFonts w:ascii="Times New Roman;serif" w:hAnsi="Times New Roman;serif"/>
                  <w:b w:val="false"/>
                  <w:color w:val="0000FF"/>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7772b0638d4574b521c86d23d7a409_199">
              <w:r>
                <w:rPr>
                  <w:rStyle w:val="InternetLink"/>
                  <w:rFonts w:ascii="Times New Roman;serif" w:hAnsi="Times New Roman;serif"/>
                  <w:b w:val="false"/>
                  <w:color w:val="0000FF"/>
                  <w:sz w:val="20"/>
                  <w:u w:val="single"/>
                </w:rPr>
                <w:t>78</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e27772b0638d4574b521c86d23d7a409_202">
              <w:r>
                <w:rPr>
                  <w:rStyle w:val="InternetLink"/>
                  <w:rFonts w:ascii="Times New Roman;serif" w:hAnsi="Times New Roman;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e27772b0638d4574b521c86d23d7a409_202">
              <w:r>
                <w:rPr>
                  <w:rStyle w:val="InternetLink"/>
                  <w:rFonts w:ascii="Times New Roman;serif" w:hAnsi="Times New Roman;serif"/>
                  <w:b w:val="false"/>
                  <w:color w:val="0000FF"/>
                  <w:sz w:val="20"/>
                  <w:u w:val="singl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7772b0638d4574b521c86d23d7a409_202">
              <w:r>
                <w:rPr>
                  <w:rStyle w:val="InternetLink"/>
                  <w:rFonts w:ascii="Times New Roman;serif" w:hAnsi="Times New Roman;serif"/>
                  <w:b w:val="false"/>
                  <w:color w:val="0000FF"/>
                  <w:sz w:val="20"/>
                  <w:u w:val="single"/>
                </w:rPr>
                <w:t>78</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e27772b0638d4574b521c86d23d7a409_205">
              <w:r>
                <w:rPr>
                  <w:rStyle w:val="InternetLink"/>
                  <w:rFonts w:ascii="Times New Roman;serif" w:hAnsi="Times New Roman;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e27772b0638d4574b521c86d23d7a409_205">
              <w:r>
                <w:rPr>
                  <w:rStyle w:val="InternetLink"/>
                  <w:rFonts w:ascii="Times New Roman;serif" w:hAnsi="Times New Roman;serif"/>
                  <w:b w:val="false"/>
                  <w:color w:val="0000FF"/>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7772b0638d4574b521c86d23d7a409_205">
              <w:r>
                <w:rPr>
                  <w:rStyle w:val="InternetLink"/>
                  <w:rFonts w:ascii="Times New Roman;serif" w:hAnsi="Times New Roman;serif"/>
                  <w:b w:val="false"/>
                  <w:color w:val="0000FF"/>
                  <w:sz w:val="20"/>
                  <w:u w:val="single"/>
                </w:rPr>
                <w:t>79</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e27772b0638d4574b521c86d23d7a409_208">
              <w:r>
                <w:rPr>
                  <w:rStyle w:val="InternetLink"/>
                  <w:rFonts w:ascii="Times New Roman;serif" w:hAnsi="Times New Roman;serif"/>
                  <w:b w:val="false"/>
                  <w:color w:val="0000FF"/>
                  <w:sz w:val="20"/>
                  <w:u w:val="singl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e27772b0638d4574b521c86d23d7a409_208">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7772b0638d4574b521c86d23d7a409_208">
              <w:r>
                <w:rPr>
                  <w:rStyle w:val="InternetLink"/>
                  <w:rFonts w:ascii="Times New Roman;serif" w:hAnsi="Times New Roman;serif"/>
                  <w:b w:val="false"/>
                  <w:color w:val="0000FF"/>
                  <w:sz w:val="20"/>
                  <w:u w:val="single"/>
                </w:rPr>
                <w:t>79</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e27772b0638d4574b521c86d23d7a409_211">
              <w:r>
                <w:rPr>
                  <w:rStyle w:val="InternetLink"/>
                  <w:rFonts w:ascii="Times New Roman;serif" w:hAnsi="Times New Roman;serif"/>
                  <w:b w:val="false"/>
                  <w:color w:val="0000FF"/>
                  <w:sz w:val="20"/>
                  <w:u w:val="singl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e27772b0638d4574b521c86d23d7a409_211">
              <w:r>
                <w:rPr>
                  <w:rStyle w:val="InternetLink"/>
                  <w:rFonts w:ascii="Times New Roman;serif" w:hAnsi="Times New Roman;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7772b0638d4574b521c86d23d7a409_211">
              <w:r>
                <w:rPr>
                  <w:rStyle w:val="InternetLink"/>
                  <w:rFonts w:ascii="Times New Roman;serif" w:hAnsi="Times New Roman;serif"/>
                  <w:b w:val="false"/>
                  <w:color w:val="0000FF"/>
                  <w:sz w:val="20"/>
                  <w:u w:val="single"/>
                </w:rPr>
                <w:t>80</w:t>
              </w:r>
            </w:hyperlink>
          </w:p>
        </w:tc>
      </w:tr>
      <w:tr>
        <w:trPr/>
        <w:tc>
          <w:tcPr>
            <w:tcW w:w="9635"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e27772b0638d4574b521c86d23d7a409_214">
              <w:r>
                <w:rPr>
                  <w:rStyle w:val="InternetLink"/>
                  <w:rFonts w:ascii="Times New Roman;serif" w:hAnsi="Times New Roman;serif"/>
                  <w:b w:val="false"/>
                  <w:color w:val="0000FF"/>
                  <w:sz w:val="20"/>
                  <w:u w:val="single"/>
                </w:rPr>
                <w:t>Signature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7772b0638d4574b521c86d23d7a409_214">
              <w:r>
                <w:rPr>
                  <w:rStyle w:val="InternetLink"/>
                  <w:rFonts w:ascii="Times New Roman;serif" w:hAnsi="Times New Roman;serif"/>
                  <w:b w:val="false"/>
                  <w:color w:val="0000FF"/>
                  <w:sz w:val="20"/>
                  <w:u w:val="single"/>
                </w:rPr>
                <w:t>82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3"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All statements other than statements of historical facts contained in this Quarterly Report on Form 10-Q, including statements regarding our future results of operations and financial position, business strategy, product candidates, planned nonclinical studies and clinical trials, results of nonclinical studies and clinical trials, research and development costs, planned regulatory submissions, regulatory approvals and the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on Form 10-Q include, but are not limited to, statements about:</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sufficiency of our existing cash to fund our future operating expenses and capital expenditure requirements;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accuracy and timing of our estimates regarding expenses, revenue opportunities, capital requirements and needs for additional financing;</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scope, progress, results and costs of developing rondecabtagene autoleucel (ronde-cel), LYL273 or any other product candidates we may develop or acquire, including both nonclinical studies and clinical trials;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timing and costs involved in obtaining and maintaining regulatory approvals of ronde-cel, LYL273 or any other product candidates we may develop or acquire, and the timing or likelihood of regulatory filings and approvals, including any expectations or plans regarding seeking or maintaining special designations, such as Regenerative Medicine Advanced Therapy designation, Orphan Drug designation or Fast Track designation, for our product candidates for various diseases;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our plans relating to the commercialization of ronde-cel, LYL273 or any other product candidates we may develop or acquire, if approved, including the geographic areas of focus, and our ability to commercially differentiate such product candidates and build a sales force;</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size of the market opportunities for ronde-cel, LYL273 or any other product candidates we may develop or acquire in each of the diseases we may target;</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our reliance on third parties to conduct research activities for ronde-cel, LYL273 or any other product candidates we may develop or acquire;</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characteristics, safety, efficacy and therapeutic effects of ronde-cel, LYL273 or any other product candidates we may develop or acquire;</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advancement of our technologies and the effectiveness and expected benefits of any of our technologies and manufacturing processes;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our estimates of the number of patients in the United States and worldwide who suffer from the diseases we target and the number of patients that may enroll in our clinical trials;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progress and focus of the current and planned clinical trials of our product candidates, and the reporting of data from those trials, including the timing thereof;</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ability of our clinical trials to sufficiently demonstrate the safety and efficacy of ronde-cel, LYL273 or any other product candidates we may develop or acquire, and other clinical trial results;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success of competing therapies that are, or may become, available;</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developments relating to our competitors and our industry, including any existing or future competing product candidates or therapies;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our plans relating to the further development and manufacturing of ronde-cel, LYL273 or any other product candidates we may develop or acquire, including lines of therapy or additional indications that we may pursue;</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existing regulations and regulatory developments in the United States and other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our potential and ability to successfully manufacture and supply or our ability to contract with third parties to manufacture and supply ronde-cel, LYL273 or any other product candidates we may develop or acquire for clinical trials and for commercial use, if approved;</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rate and degree of market acceptance, as well as the pricing and reimbursement, of ronde-cel, LYL273 or any other product candidates we may develop or acquire, if approved;</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our continued reliance on third parties to assist us in conducting additional clinical trials of ronde-cel, LYL273 or any other product candidates we may develop or acquire;</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scope of protection we are able to establish and maintain for intellectual property rights, including covering ronde-cel, LYL273 and other product candidates and technologies we may develop or acquire;</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our ability to retain the continued service of our key personnel and to identify, hire and retain additional qualified personnel;</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our expectations regarding the impact of inflation, macroeconomic conditions and geopolitical conflicts on our business and operations, including on our manufacturing suppliers, collaborators, contract research organizations (CROs) and employees;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our ability to realize the anticipated benefits of and potential value created by our acquisition of ImmPACT Bio USA Inc., our acquisition of rights to LYL273 from Innovative Cellular Therapeutics Holdings Limited and Innovative Cellular Therapeutics or any other acquisition or strategic transaction and our success in commercializing any product candidates we acquire in connection therewith;</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our expectation that our LyFE Manufacturing Center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and, if applicable, contract drug manufacturing organizations engaged by us, will provide sufficient drug supply for our ongoing and planned clinical trials and through potential commercial launch; and</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our anticipated use of our existing cash, cash equivalents and marketable securities.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under “Risk Factors” in Part II, Item 1A,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these forward-looking statements. Except as required by applicable law, we undertake no obligation to update or supplement any forward-looking statements publicly, or to update or supplement the reasons that actual results could differ materially from those projected in these forward-looking statements, even if new information becomes available in the future.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statements indicating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Lyell Immunopharma,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070"/>
        <w:gridCol w:w="2345"/>
        <w:gridCol w:w="2306"/>
        <w:gridCol w:w="196"/>
        <w:gridCol w:w="740"/>
        <w:gridCol w:w="109"/>
        <w:gridCol w:w="109"/>
        <w:gridCol w:w="109"/>
        <w:gridCol w:w="109"/>
        <w:gridCol w:w="200"/>
        <w:gridCol w:w="752"/>
        <w:gridCol w:w="160"/>
      </w:tblGrid>
      <w:tr>
        <w:trPr/>
        <w:tc>
          <w:tcPr>
            <w:tcW w:w="3070"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90,770 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60,181 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163,253 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187,039 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13,281 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13,719 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267,304 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260,939 </w:t>
            </w:r>
          </w:p>
        </w:tc>
        <w:tc>
          <w:tcPr>
            <w:tcW w:w="16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1,585 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 non-current</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6,954 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investments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19,000 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32,720 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34,771 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17,828 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18,871 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5,234 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4,886 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350,626 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340,052 </w:t>
            </w:r>
          </w:p>
        </w:tc>
        <w:tc>
          <w:tcPr>
            <w:tcW w:w="16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color w:val="000000"/>
                <w:sz w:val="18"/>
              </w:rPr>
              <w:t>LIABILITIES AND STOCKHOLDERS</w:t>
            </w:r>
            <w:r>
              <w:rPr>
                <w:color w:val="000000"/>
              </w:rPr>
              <w:t xml:space="preserve">’ </w:t>
            </w:r>
            <w:r>
              <w:rPr>
                <w:rFonts w:ascii="Times New Roman;serif" w:hAnsi="Times New Roman;serif"/>
                <w:b/>
                <w:color w:val="000000"/>
                <w:sz w:val="18"/>
              </w:rPr>
              <w:t>EQUITY</w:t>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5,468 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2,893 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 and other current liabilities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31,479 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46,519 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36,947 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49,412 </w:t>
            </w:r>
          </w:p>
        </w:tc>
        <w:tc>
          <w:tcPr>
            <w:tcW w:w="16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non-current</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39,487 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41,921 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76,961 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91,850 </w:t>
            </w:r>
          </w:p>
        </w:tc>
        <w:tc>
          <w:tcPr>
            <w:tcW w:w="16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i/>
                <w:color w:val="000000"/>
                <w:sz w:val="18"/>
              </w:rPr>
            </w:pPr>
            <w:r>
              <w:rPr>
                <w:rFonts w:ascii="Times New Roman;serif" w:hAnsi="Times New Roman;serif"/>
                <w:b w:val="false"/>
                <w:i/>
                <w:color w:val="000000"/>
                <w:sz w:val="18"/>
              </w:rPr>
              <w:t>Commitments and contingencies (Note 12)</w:t>
            </w:r>
          </w:p>
        </w:tc>
        <w:tc>
          <w:tcPr>
            <w:tcW w:w="104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000000"/>
                <w:sz w:val="18"/>
              </w:rPr>
              <w:t>Stockholders</w:t>
            </w:r>
            <w:r>
              <w:rPr>
                <w:color w:val="000000"/>
              </w:rPr>
              <w:t xml:space="preserve">’ </w:t>
            </w:r>
            <w:r>
              <w:rPr>
                <w:rFonts w:ascii="Times New Roman;serif" w:hAnsi="Times New Roman;serif"/>
                <w:b w:val="false"/>
                <w:color w:val="000000"/>
                <w:sz w:val="18"/>
              </w:rPr>
              <w:t>equity:</w:t>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312"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Preferred stock, $0.0001 par value; 10,000 shares authorized at March 31, 2026 and December 31, 2025; no shares issued and outstanding at March 31, 2026 and December 31, 2025</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312"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500,000 shares authorized at March 31, 2026 and December 31, 2025; 23,328 and 21,251 shares issued and outstanding at March 31, 2026 and December 31, 2025, respectively</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1,917,379 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1,867,512 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income</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(1,643,707)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(1,619,554)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000000"/>
                <w:sz w:val="18"/>
              </w:rPr>
              <w:t>Total stockholders</w:t>
            </w:r>
            <w:r>
              <w:rPr>
                <w:color w:val="000000"/>
              </w:rPr>
              <w:t xml:space="preserve">’ </w:t>
            </w:r>
            <w:r>
              <w:rPr>
                <w:rFonts w:ascii="Times New Roman;serif" w:hAnsi="Times New Roman;serif"/>
                <w:b w:val="false"/>
                <w:color w:val="000000"/>
                <w:sz w:val="18"/>
              </w:rPr>
              <w:t>equity</w:t>
            </w:r>
          </w:p>
        </w:tc>
        <w:tc>
          <w:tcPr>
            <w:tcW w:w="9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273,665 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248,202 </w:t>
            </w:r>
          </w:p>
        </w:tc>
        <w:tc>
          <w:tcPr>
            <w:tcW w:w="16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color w:val="000000"/>
                <w:sz w:val="18"/>
              </w:rPr>
              <w:t>Total liabilities and stockholders</w:t>
            </w:r>
            <w:r>
              <w:rPr>
                <w:color w:val="000000"/>
              </w:rPr>
              <w:t xml:space="preserve">’ </w:t>
            </w:r>
            <w:r>
              <w:rPr>
                <w:rFonts w:ascii="Times New Roman;serif" w:hAnsi="Times New Roman;serif"/>
                <w:b/>
                <w:color w:val="000000"/>
                <w:sz w:val="18"/>
              </w:rPr>
              <w:t>equity</w:t>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350,626 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340,052 </w:t>
            </w:r>
          </w:p>
        </w:tc>
        <w:tc>
          <w:tcPr>
            <w:tcW w:w="16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Lyell Immunopharma,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592"/>
        <w:gridCol w:w="2276"/>
        <w:gridCol w:w="2297"/>
        <w:gridCol w:w="211"/>
        <w:gridCol w:w="795"/>
        <w:gridCol w:w="109"/>
        <w:gridCol w:w="109"/>
        <w:gridCol w:w="109"/>
        <w:gridCol w:w="109"/>
        <w:gridCol w:w="211"/>
        <w:gridCol w:w="795"/>
        <w:gridCol w:w="109"/>
        <w:gridCol w:w="109"/>
        <w:gridCol w:w="109"/>
        <w:gridCol w:w="109"/>
        <w:gridCol w:w="156"/>
      </w:tblGrid>
      <w:tr>
        <w:trPr/>
        <w:tc>
          <w:tcPr>
            <w:tcW w:w="2592"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36,604 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Other operating income, net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44,263 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57,374 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(57,367)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00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20,108 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5,172 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0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(24,153)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(52,195)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loss on marketable securities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(24,404)</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(52,328)</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000000"/>
                <w:sz w:val="20"/>
              </w:rPr>
              <w:t>Net loss per common share, basic and diluted</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bidi w:val="0"/>
              <w:spacing w:lineRule="auto" w:line="312" w:before="0" w:after="0"/>
              <w:ind w:left="0" w:right="0" w:hanging="180"/>
              <w:jc w:val="left"/>
              <w:rPr/>
            </w:pPr>
            <w:r>
              <w:rPr>
                <w:rFonts w:ascii="Times New Roman;serif" w:hAnsi="Times New Roman;serif"/>
                <w:b w:val="false"/>
                <w:color w:val="000000"/>
                <w:sz w:val="20"/>
              </w:rPr>
              <w:t>Weighted-average shares used to compute net loss per common share, basic and diluted</w:t>
            </w:r>
            <w:r>
              <w:rPr>
                <w:rFonts w:ascii="Times New Roman;serif" w:hAnsi="Times New Roman;serif"/>
                <w:b w:val="false"/>
                <w:color w:val="000000"/>
                <w:sz w:val="13"/>
              </w:rPr>
              <w:t>1</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1. Amounts previously reported have been retroactively adjusted to reflect the 1-for-20 reverse stock split effected on May 30, 2025. See Note 2.</w:t>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Lyell Immunopharma,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33"/>
        <w:gridCol w:w="405"/>
        <w:gridCol w:w="406"/>
        <w:gridCol w:w="109"/>
        <w:gridCol w:w="109"/>
        <w:gridCol w:w="109"/>
        <w:gridCol w:w="156"/>
        <w:gridCol w:w="156"/>
        <w:gridCol w:w="361"/>
        <w:gridCol w:w="285"/>
        <w:gridCol w:w="157"/>
        <w:gridCol w:w="109"/>
        <w:gridCol w:w="109"/>
        <w:gridCol w:w="109"/>
        <w:gridCol w:w="312"/>
        <w:gridCol w:w="384"/>
        <w:gridCol w:w="175"/>
        <w:gridCol w:w="230"/>
        <w:gridCol w:w="230"/>
        <w:gridCol w:w="231"/>
        <w:gridCol w:w="202"/>
        <w:gridCol w:w="900"/>
        <w:gridCol w:w="114"/>
        <w:gridCol w:w="109"/>
        <w:gridCol w:w="109"/>
        <w:gridCol w:w="109"/>
        <w:gridCol w:w="283"/>
        <w:gridCol w:w="609"/>
        <w:gridCol w:w="159"/>
        <w:gridCol w:w="109"/>
        <w:gridCol w:w="109"/>
        <w:gridCol w:w="109"/>
        <w:gridCol w:w="196"/>
        <w:gridCol w:w="888"/>
        <w:gridCol w:w="109"/>
        <w:gridCol w:w="109"/>
        <w:gridCol w:w="109"/>
        <w:gridCol w:w="109"/>
        <w:gridCol w:w="196"/>
        <w:gridCol w:w="736"/>
        <w:gridCol w:w="157"/>
      </w:tblGrid>
      <w:tr>
        <w:trPr/>
        <w:tc>
          <w:tcPr>
            <w:tcW w:w="53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222" w:type="dxa"/>
            <w:gridSpan w:val="33"/>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r>
      <w:tr>
        <w:trPr/>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4"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gridSpan w:val="5"/>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Additional</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Paid-in</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Capital</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Other</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Comprehensive</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312" w:before="0" w:after="0"/>
              <w:jc w:val="center"/>
              <w:rPr/>
            </w:pPr>
            <w:r>
              <w:rPr>
                <w:rFonts w:ascii="Times New Roman;serif" w:hAnsi="Times New Roman;serif"/>
                <w:b/>
                <w:color w:val="000000"/>
                <w:sz w:val="16"/>
              </w:rPr>
              <w:t>Stockholders</w:t>
            </w:r>
            <w:r>
              <w:rPr>
                <w:color w:val="000000"/>
              </w:rPr>
              <w:t>’</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Equity</w:t>
            </w:r>
          </w:p>
        </w:tc>
        <w:tc>
          <w:tcPr>
            <w:tcW w:w="1416" w:type="dxa"/>
            <w:gridSpan w:val="6"/>
            <w:tcBorders/>
          </w:tcPr>
          <w:p>
            <w:pPr>
              <w:pStyle w:val="TableContents"/>
              <w:bidi w:val="0"/>
              <w:spacing w:before="0" w:after="283"/>
              <w:jc w:val="left"/>
              <w:rPr>
                <w:sz w:val="4"/>
                <w:szCs w:val="4"/>
              </w:rPr>
            </w:pPr>
            <w:r>
              <w:rPr>
                <w:sz w:val="4"/>
                <w:szCs w:val="4"/>
              </w:rPr>
            </w:r>
          </w:p>
        </w:tc>
      </w:tr>
      <w:tr>
        <w:trPr/>
        <w:tc>
          <w:tcPr>
            <w:tcW w:w="1344"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4"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21,251 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1,867,512 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242 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(1,619,554)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248,202 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4"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restricted stock units,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PIPE financing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1,952 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43,850 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43,850 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4"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ATM financing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1,696 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1,696 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4,295 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4,295 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(251)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(251)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(24,153)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(24,153)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4"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6"/>
              </w:rPr>
            </w:pPr>
            <w:r>
              <w:rPr>
                <w:rFonts w:ascii="Times New Roman;serif" w:hAnsi="Times New Roman;serif"/>
                <w:b w:val="false"/>
                <w:color w:val="000000"/>
                <w:sz w:val="16"/>
              </w:rPr>
              <w:t>Balance as of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23,328 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1,917,379 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(1,643,707)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273,665 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33"/>
        <w:gridCol w:w="682"/>
        <w:gridCol w:w="685"/>
        <w:gridCol w:w="323"/>
        <w:gridCol w:w="323"/>
        <w:gridCol w:w="196"/>
        <w:gridCol w:w="109"/>
        <w:gridCol w:w="109"/>
        <w:gridCol w:w="109"/>
        <w:gridCol w:w="248"/>
        <w:gridCol w:w="305"/>
        <w:gridCol w:w="138"/>
        <w:gridCol w:w="109"/>
        <w:gridCol w:w="109"/>
        <w:gridCol w:w="109"/>
        <w:gridCol w:w="196"/>
        <w:gridCol w:w="871"/>
        <w:gridCol w:w="109"/>
        <w:gridCol w:w="109"/>
        <w:gridCol w:w="109"/>
        <w:gridCol w:w="109"/>
        <w:gridCol w:w="364"/>
        <w:gridCol w:w="783"/>
        <w:gridCol w:w="203"/>
        <w:gridCol w:w="109"/>
        <w:gridCol w:w="109"/>
        <w:gridCol w:w="109"/>
        <w:gridCol w:w="196"/>
        <w:gridCol w:w="900"/>
        <w:gridCol w:w="109"/>
        <w:gridCol w:w="109"/>
        <w:gridCol w:w="109"/>
        <w:gridCol w:w="109"/>
        <w:gridCol w:w="198"/>
        <w:gridCol w:w="747"/>
        <w:gridCol w:w="161"/>
      </w:tblGrid>
      <w:tr>
        <w:trPr/>
        <w:tc>
          <w:tcPr>
            <w:tcW w:w="83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5" w:type="dxa"/>
            <w:gridSpan w:val="3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2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Additional</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Paid-in</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Other</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312" w:before="0" w:after="0"/>
              <w:jc w:val="center"/>
              <w:rPr/>
            </w:pPr>
            <w:r>
              <w:rPr>
                <w:rFonts w:ascii="Times New Roman;serif" w:hAnsi="Times New Roman;serif"/>
                <w:b/>
                <w:color w:val="000000"/>
                <w:sz w:val="16"/>
              </w:rPr>
              <w:t>Stockholders</w:t>
            </w:r>
            <w:r>
              <w:rPr>
                <w:color w:val="000000"/>
              </w:rPr>
              <w:t>’</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Equity</w:t>
            </w:r>
          </w:p>
        </w:tc>
      </w:tr>
      <w:tr>
        <w:trPr/>
        <w:tc>
          <w:tcPr>
            <w:tcW w:w="2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000000"/>
                <w:sz w:val="16"/>
              </w:rPr>
              <w:t>Balance as of December 31, 2024</w:t>
            </w:r>
            <w:r>
              <w:rPr>
                <w:rFonts w:ascii="Times New Roman;serif" w:hAnsi="Times New Roman;serif"/>
                <w:b w:val="false"/>
                <w:color w:val="000000"/>
                <w:sz w:val="10"/>
              </w:rPr>
              <w:t>(1)</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14,744 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1,727,638 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(1,345,106)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382,824 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restricted stock units, net of tax</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6,024 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6,024 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(133)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(133)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(52,195)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(52,195)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6"/>
              </w:rPr>
            </w:pPr>
            <w:r>
              <w:rPr>
                <w:rFonts w:ascii="Times New Roman;serif" w:hAnsi="Times New Roman;serif"/>
                <w:b w:val="false"/>
                <w:color w:val="000000"/>
                <w:sz w:val="16"/>
              </w:rPr>
              <w:t>Balance as of March 31, 2025</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14,764 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1,733,663 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(1,397,301)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336,521 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1. Amounts previously reported for common stock and additional paid-in capital have been retroactively adjusted to reflect the 1-for-20 reverse stock split effected on May 30, 2025. See Note 2.</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Lyell Immunopharma,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9023" w:type="dxa"/>
        <w:jc w:val="left"/>
        <w:tblInd w:w="0" w:type="dxa"/>
        <w:tblLayout w:type="fixed"/>
        <w:tblCellMar>
          <w:top w:w="28" w:type="dxa"/>
          <w:left w:w="28" w:type="dxa"/>
          <w:bottom w:w="28" w:type="dxa"/>
          <w:right w:w="28" w:type="dxa"/>
        </w:tblCellMar>
      </w:tblPr>
      <w:tblGrid>
        <w:gridCol w:w="2316"/>
        <w:gridCol w:w="2034"/>
        <w:gridCol w:w="2039"/>
        <w:gridCol w:w="211"/>
        <w:gridCol w:w="796"/>
        <w:gridCol w:w="109"/>
        <w:gridCol w:w="109"/>
        <w:gridCol w:w="109"/>
        <w:gridCol w:w="109"/>
        <w:gridCol w:w="211"/>
        <w:gridCol w:w="826"/>
        <w:gridCol w:w="154"/>
      </w:tblGrid>
      <w:tr>
        <w:trPr/>
        <w:tc>
          <w:tcPr>
            <w:tcW w:w="2316"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6389"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(52,195)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amortization and accretion on marketable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success payment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securities purchase agreement put/call</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Loss on property and equipment disposals,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Loss on marketable equity security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other current assets and 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other current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(9,788)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0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(38,510)</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(54,738)</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(37,183)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(84,411)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Maturities of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54,650 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154,123 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00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17,378 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69,466 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securities purchase agreement equity issuance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at-the-market offering, net of offering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51,722 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100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30,590 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14,729 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61,766 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107,287 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92,356 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122,016 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Represented by:</w:t>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90,770 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120,328 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92,356 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122,016 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 included in accounts payable and accrued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Lyell Immunopharma,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Organization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Lyell Immunopharma, Inc. (the “Company”) was incorporated in Delaware in June 2018. The Company is a late</w:t>
        <w:noBreakHyphen/>
        <w:t>stage clinical cell therapy company advancing a pipeline of proprietary next-generation autologous chimeric antigen receptor (“CAR”) T-cell product candidates for patients with hematologic malignancies and solid tumors. The Company’s lead product candidate, rondecabtagene autoleucel (“ronde-cel”), is an autologous dual</w:t>
        <w:noBreakHyphen/>
        <w:t>targeting CD19/CD20 CAR T</w:t>
        <w:noBreakHyphen/>
        <w:t>cell therapy in development for large B-cell lymphoma (“LBCL”). The Company has recently acquired exclusive global rights outside of mainland China, Hong Kong, Macau and Taiwan, to a novel guanylyl cyclase C (“GCC”)-targeted CAR T-cell product candidate in early clinical development for refractory metastatic colorectal cancer (“mCRC”) and other GCC</w:t>
        <w:noBreakHyphen/>
        <w:t>expressing cancers. The Company’s primary activities since incorporation have been to develop investigational T</w:t>
        <w:noBreakHyphen/>
        <w:t xml:space="preserve">cell therapies, conduct research and development, execute clinical trials, enable and execute manufacturing activities in support of its product candidate development efforts, submit regulatory submissions, acquire technology and product candidates, enter into strategic license and collaboration arrangements, organize and staff the Company, conduct business planning, establish its intellectual property portfolio, raise capital and provide general and administrative support for these activities.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U.S. generally accepted accounting principles (“GAAP”). The unaudited condensed consolidated financial statements include the accounts of the Company and its wholly owned subsidiaries. All significant intercompany transactions and balances have been eliminated in consolidation. Certain prior period amounts have been reclassified to conform with the current period presentation.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balance sheet as of December 31, 2025 included herein was derived from the audited consolidated financial statements as of that date. Certain information and footnote disclosures typically included in the Company’s audited consolidated financial statements have been condensed or omitted. The accompanying unaudited condensed consolidated financial statements have been prepared on the same basis as the annual consolidated financial statements and reflect, in the opinion of management, all adjustments of a normal and recurring nature that are necessary for the fair presentation of the Company’s financial position, results of operations and cash flows for the periods presented, but are not necessarily indicative of results to be expected for any future annual or interim period.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unaudited condensed consolidated financial statements should be read in conjunction with the Company’s audited financial statements and notes included in the Company’s Annual Report on Form 10-K for the year ended December 31, 2025 (“2025 Annual Report”).</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Reverse Stock Split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30, 2025, the Company effected a 1-for-20 reverse stock split (“Reverse Split”) of its issued and outstanding shares of common stock, and the common stock began trading on a split-adjusted basis on June 2, 2025. The Reverse Split did not reduce the total number of authorized shares of common stock or the Company’s preferred stock or change the par values per share of the common stock or preferred stock. The Reverse Split affected all stockholders uniformly and did not affect any stockholder’s ownership percentage of the shares of common stock (except to the extent that the Reverse Split resulted in some of the stockholders receiving cash in lieu of fractional shares). All outstanding equity awards entitling their holders to shares of common stock were adjusted as a result of the Reverse Split, in accordance with the terms of each such security. In addition, the number of shares reserved for future issuance pursuant to the Company’s equity incentive plans was adjusted accordingly. As a result, all historical per share data, the number of shares issued and outstanding and outstanding equity awards for the periods presented in the accompanying unaudited condensed consolidated financial statements and notes thereto have been adjusted retroactively in this Form 10-Q, where applicable, to reflect the Reverse Split. As the par value per share of the common stock was unchanged, corresponding amounts have been reclassified from common stock to additional paid-in capital.</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Liquidity and Management’s Plan</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discovers and develops product candidates that involve experimental technologies. The product candidates may require several years and substantial expenditures to complete and ultimately may be unsuccessful. The Company expects to continue to incur significant operating losses for the foreseeable future and may never be profitable.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a result, the Company will need to raise additional capital through equity offerings, debt financings or other capital sources, including potential collaborations, licenses and other similar arrangements. Management believes that it has sufficient working capital on hand to fund operations through at least the next 12 months from the date these unaudited condensed consolidated financial statements are issued.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the Company’s unaudited condensed consolidated financial statements in conformity with GAAP requires management to make judgments, estimates and assumptions that affect reported amounts and related disclosures. Specific accounts that require management estimates include, but are not limited to, stock-based compensation, valuation of long-lived and acquired assets, the SPA put/call (as defined below), other investments and accrued expenses.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could differ materially from those estimates.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Concentrations of Credit Risk and Off-balance Sheet Risk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maintains its cash, cash equivalents and restricted cash with high quality, accredited financial institutions. Restricted cash is cash held in a bank account and is used as collateral associated with the Company’s corporate credit card program as well as collateral for a letter of credit in favor of one of the Company’s landlords. Cash, cash equivalents and restricted cash amounts, at times, may exceed federally insured limits. The Company also makes short-term investments in money market funds, U.S. Treasury securities, U.S. government agency securities and corporate debt securities, which can be subject to certain credit risk. However, the Company mitigates the risks by investing in high</w:t>
        <w:noBreakHyphen/>
        <w:t>grade instruments, limiting exposure to any one issuer or type of investment and monitoring the ongoing creditworthiness of the financial institutions and issuers. The Company has not experienced any credit losses in such accounts and does not believe it is exposed to significant risk on these funds. The Company has no off</w:t>
        <w:noBreakHyphen/>
        <w:t>balance sheet concentrations of credit risk, such as foreign currency exchange contracts, option contracts or other hedging arrangements.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Significant Accounting Policies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significant accounting policies from the 2025 Annual Report.</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Recently Adopted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Not Yet Adopted</w:t>
      </w:r>
    </w:p>
    <w:p>
      <w:pPr>
        <w:pStyle w:val="TextBody"/>
        <w:bidi w:val="0"/>
        <w:spacing w:lineRule="auto" w:line="288" w:before="12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Income Statement Expense Disaggregation</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In November 2024, the Financial Accounting Standards Board (“FASB”) issued Accounting Standards Update (“ASU”) 2024-03, </w:t>
      </w:r>
      <w:r>
        <w:rPr>
          <w:rFonts w:ascii="Times New Roman;serif" w:hAnsi="Times New Roman;serif"/>
          <w:b w:val="false"/>
          <w:i/>
          <w:color w:val="000000"/>
          <w:sz w:val="20"/>
        </w:rPr>
        <w:t>Income Statement - Reporting Comprehensive Income - Expense Disaggregation Disclosures</w:t>
      </w:r>
      <w:r>
        <w:rPr>
          <w:rFonts w:ascii="Times New Roman;serif" w:hAnsi="Times New Roman;serif"/>
          <w:b w:val="false"/>
          <w:color w:val="000000"/>
          <w:sz w:val="20"/>
        </w:rPr>
        <w:t>, to require more detailed information about specified categories of expenses (purchases of inventory, employee compensation, depreciation and amortization) included in certain expense captions presented on the face of the income statement. This ASU is effective for fiscal years beginning after December 15, 2026, and for interim periods within fiscal years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The Company is currently evaluating the impact of ASU 2024-03 on its consolidated financial statements.</w:t>
      </w:r>
    </w:p>
    <w:p>
      <w:pPr>
        <w:pStyle w:val="TextBody"/>
        <w:bidi w:val="0"/>
        <w:spacing w:lineRule="auto" w:line="288" w:before="12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Interim Reporting</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had a material impact on the entity. ASU 2025-11 is effective for fiscal years beginning after December 15, 2027, including interim periods within those fiscal years, with early adoption permitted. The Company is currently evaluating the impact of ASU 2025-11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3. Asset Acquisitions and Contingent Consideration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ICT License Acquisition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6, 2025, the Company entered into an Exclusive License Agreement with Innovative Cellular Therapeutics Holdings Limited and Innovative Cellular Therapeutics, Inc. (together, “ICT”) for the development and commercialization of LYL273, a novel GCC-targeted CAR T-cell product candidate for the treatment of mCRC and other GCC-expressing cancers (the “ICT License Agreement”). Pursuant to the terms of the ICT License Agreement, the Company received exclusive global rights, outside of mainland China, Hong Kong, Macau and Taiwan, to research, develop, manufacture, commercialize and otherwise exploit LYL273 (“LYL273 license”), along with clinical supply through the technology transfer period (subject to a $10 million cap) (“prepaid clinical supply”), in exchange for an upfront payment of $40 million in cash and the issuance of 1.9 million shares of the Company’s common stock and the cash and equity contingent consideration noted below.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ICT is eligible to receive additional cash and equity payments of (i) a potential $30 million clinical milestone payment, up to $115 million upon the achievement of certain late-stage regulatory milestones and up to $675 million in commercial sales milestones; (ii) up to an additional 1.85 million shares of the Company’s common stock based on the achievement of certain clinical and regulatory milestones; and (iii) tiered royalties ranging from mid-single-digits up to 10% on annual net sales in the United States and low to mid-single-digit royalties on annual net sales in other countries within the licensed territory.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received $1.7 million in prepaid clinical supply, resulting in a remaining prepaid clinical supply balance of $5.8 million as of March 31, 2026. The remaining prepaid clinical supply balance as of December 31, 2025 was $7.5 million. Prepaid clinical supply balances are recorded in prepaid expenses and other current assets in the Company’s consolidated balance sheets.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will recognize any future cash milestones or royalty payments in the period in which the cash milestones or royalty payments become due and payable. The Company has not made or accrued for cash milestones or royalty payments as these have not become due and payable. </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The Company determined that the milestone payments payable in the Company’s common stock are subject to accounting under ASC 718, </w:t>
      </w:r>
      <w:r>
        <w:rPr>
          <w:rFonts w:ascii="Times New Roman;serif" w:hAnsi="Times New Roman;serif"/>
          <w:b w:val="false"/>
          <w:i/>
          <w:color w:val="000000"/>
          <w:sz w:val="20"/>
        </w:rPr>
        <w:t>Compensation - Stock Compensation</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Consistent with the Company’s treatment of other performance-based equity awards, </w:t>
      </w:r>
      <w:r>
        <w:rPr>
          <w:rFonts w:ascii="Times New Roman;serif" w:hAnsi="Times New Roman;serif"/>
          <w:b w:val="false"/>
          <w:color w:val="000000"/>
          <w:sz w:val="20"/>
        </w:rPr>
        <w:t xml:space="preserve">compensation expense is recognized for the number of shares expected to be earned after assessing the probability that a certain performance condition will be met and the targeted payout level associated with the performance condition expected to be achieved. </w:t>
      </w:r>
      <w:r>
        <w:rPr>
          <w:rFonts w:ascii="Times New Roman;serif" w:hAnsi="Times New Roman;serif"/>
          <w:b w:val="false"/>
          <w:color w:val="000000"/>
          <w:sz w:val="20"/>
          <w:shd w:fill="FFFFFF" w:val="clear"/>
        </w:rPr>
        <w:t>At each reporting date, the Company is required to evaluate whether achievement of a performance condition is probable.</w:t>
      </w:r>
      <w:r>
        <w:rPr>
          <w:color w:val="000000"/>
        </w:rPr>
        <w:t xml:space="preserve"> </w:t>
      </w:r>
      <w:r>
        <w:rPr>
          <w:rFonts w:ascii="Times New Roman;serif" w:hAnsi="Times New Roman;serif"/>
          <w:b w:val="false"/>
          <w:color w:val="000000"/>
          <w:sz w:val="20"/>
        </w:rPr>
        <w:t>If performance conditions are not met or not expected to be met, any compensation expense previously recognized associated with the awards will be reversed. As of March 31, 2026, the achievement of a clinical milestone for 1.1 million shares of common stock remained probable. The probable clinical milestone resulted in the recognition of $19.7 million in stock-based compensation expense during the fourth quarter of 2025, which was recorded within research and development expense.</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ImmPACT Acquisition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October 2024, the Company acquired ImmPACT Bio USA Inc. (“ImmPACT”) for upfront consideration of $41.9 million in cash and 1.875 million shares of common stock. In July 2025, the Company issued 625,000 shares of common stock valued at $5.9 million upon achieving a specified clinical milestone, fulfilling all contingent equity obligations.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Remaining contingent consideration consists of a low single-digit royalty on future U.S. net sales of the dual</w:t>
        <w:noBreakHyphen/>
        <w:t>targeting CD19/20 CAR T</w:t>
        <w:noBreakHyphen/>
        <w:t>cell product. Under ASC 815, these royalties are not accounted for as derivatives and are recognized in the period they become due. As of March 31, 2026, no royalty payments have been made or accrued.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4. License, Collaboration and Success Payment Agreements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Fred Hutch</w:t>
      </w:r>
    </w:p>
    <w:p>
      <w:pPr>
        <w:pStyle w:val="TextBody"/>
        <w:bidi w:val="0"/>
        <w:spacing w:lineRule="auto" w:line="288" w:before="120" w:after="283"/>
        <w:ind w:left="0" w:right="0" w:firstLine="720"/>
        <w:jc w:val="left"/>
        <w:rPr/>
      </w:pPr>
      <w:r>
        <w:rPr>
          <w:rFonts w:ascii="Times New Roman;serif" w:hAnsi="Times New Roman;serif"/>
          <w:b/>
          <w:color w:val="000000"/>
          <w:sz w:val="20"/>
        </w:rPr>
        <w:t>Collaboration and Success Payments</w:t>
      </w:r>
      <w:r>
        <w:rPr>
          <w:color w:val="000000"/>
        </w:rPr>
        <w:t xml:space="preserve"> </w:t>
      </w:r>
      <w:r>
        <w:rPr>
          <w:rFonts w:ascii="Times New Roman;serif" w:hAnsi="Times New Roman;serif"/>
          <w:b w:val="false"/>
          <w:color w:val="000000"/>
          <w:sz w:val="20"/>
        </w:rPr>
        <w:t xml:space="preserve">- In 2018, the Company entered into a research and collaboration agreement with Fred Hutchinson Cancer Center (“Fred Hutch” and “Fred Hutch Collaboration Agreement”), pursuant to which it granted Fred Hutch rights to certain success payments. The potential payments for the Fred Hutch success payments are based on multiples of increased value ranging from 10 times to 50 times based on a comparison of the per share fair market value of the Company’s common stock relative to the original $36.58 per share issuance price of the Company’s Series A convertible preferred stock, which converted into an equal number of shares of the Company’s common stock in connection with the closing of the Company’s initial public offering (“IPO”). The aggregate success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payments to Fred Hutch are not to exceed $200.0 million, which would only occur upon a 50 times increase in value relative to the original $36.58 per share issuance price of the Company’s Series A convertible preferred stock. Each threshold is associated with a success payment, ascending from $10.0 million at $365.76 per share to $200.0 million at $1,828.80 per share, payable if such threshold is reached during the measurement period. The term of the success payment agreement ends on the earlier to occur of (i) December 19, 2027 (the nine-year anniversary of the date of the agreement) and (ii) a change in control transaction.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aggregate potential success payments, which are payable to Fred Hutch in cash or cash equivalents, or at the Company’s discretion, publicly-tradeable shares of the Company’s common stock:</w:t>
      </w:r>
    </w:p>
    <w:tbl>
      <w:tblPr>
        <w:tblW w:w="10205" w:type="dxa"/>
        <w:jc w:val="left"/>
        <w:tblInd w:w="0" w:type="dxa"/>
        <w:tblLayout w:type="fixed"/>
        <w:tblCellMar>
          <w:top w:w="28" w:type="dxa"/>
          <w:left w:w="28" w:type="dxa"/>
          <w:bottom w:w="28" w:type="dxa"/>
          <w:right w:w="28" w:type="dxa"/>
        </w:tblCellMar>
      </w:tblPr>
      <w:tblGrid>
        <w:gridCol w:w="1180"/>
        <w:gridCol w:w="1006"/>
        <w:gridCol w:w="1010"/>
        <w:gridCol w:w="211"/>
        <w:gridCol w:w="721"/>
        <w:gridCol w:w="109"/>
        <w:gridCol w:w="109"/>
        <w:gridCol w:w="109"/>
        <w:gridCol w:w="109"/>
        <w:gridCol w:w="211"/>
        <w:gridCol w:w="721"/>
        <w:gridCol w:w="109"/>
        <w:gridCol w:w="109"/>
        <w:gridCol w:w="109"/>
        <w:gridCol w:w="109"/>
        <w:gridCol w:w="211"/>
        <w:gridCol w:w="871"/>
        <w:gridCol w:w="109"/>
        <w:gridCol w:w="109"/>
        <w:gridCol w:w="109"/>
        <w:gridCol w:w="109"/>
        <w:gridCol w:w="211"/>
        <w:gridCol w:w="871"/>
        <w:gridCol w:w="109"/>
        <w:gridCol w:w="109"/>
        <w:gridCol w:w="109"/>
        <w:gridCol w:w="109"/>
        <w:gridCol w:w="211"/>
        <w:gridCol w:w="871"/>
        <w:gridCol w:w="155"/>
      </w:tblGrid>
      <w:tr>
        <w:trPr/>
        <w:tc>
          <w:tcPr>
            <w:tcW w:w="118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19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Multiple of initial equity value at issuance</w:t>
            </w:r>
          </w:p>
        </w:tc>
        <w:tc>
          <w:tcPr>
            <w:tcW w:w="104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000000"/>
                <w:sz w:val="20"/>
              </w:rPr>
            </w:pPr>
            <w:r>
              <w:rPr>
                <w:rFonts w:ascii="Times New Roman;serif" w:hAnsi="Times New Roman;serif"/>
                <w:b/>
                <w:color w:val="000000"/>
                <w:sz w:val="20"/>
              </w:rPr>
              <w:t>10x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000000"/>
                <w:sz w:val="20"/>
              </w:rPr>
            </w:pPr>
            <w:r>
              <w:rPr>
                <w:rFonts w:ascii="Times New Roman;serif" w:hAnsi="Times New Roman;serif"/>
                <w:b/>
                <w:color w:val="000000"/>
                <w:sz w:val="20"/>
              </w:rPr>
              <w:t>20x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000000"/>
                <w:sz w:val="20"/>
              </w:rPr>
            </w:pPr>
            <w:r>
              <w:rPr>
                <w:rFonts w:ascii="Times New Roman;serif" w:hAnsi="Times New Roman;serif"/>
                <w:b/>
                <w:color w:val="000000"/>
                <w:sz w:val="20"/>
              </w:rPr>
              <w:t>30x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000000"/>
                <w:sz w:val="20"/>
              </w:rPr>
            </w:pPr>
            <w:r>
              <w:rPr>
                <w:rFonts w:ascii="Times New Roman;serif" w:hAnsi="Times New Roman;serif"/>
                <w:b/>
                <w:color w:val="000000"/>
                <w:sz w:val="20"/>
              </w:rPr>
              <w:t>40x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000000"/>
                <w:sz w:val="20"/>
              </w:rPr>
            </w:pPr>
            <w:r>
              <w:rPr>
                <w:rFonts w:ascii="Times New Roman;serif" w:hAnsi="Times New Roman;serif"/>
                <w:b/>
                <w:color w:val="000000"/>
                <w:sz w:val="20"/>
              </w:rPr>
              <w:t>50x</w:t>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Per share common stock price required for payment</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731.52 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1,097.28 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1,463.04 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1,828.80 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success payment(s) (in millions)</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success payments will be owed if the per share fair value of the Company’s common stock on the contractually specified valuation measurement dates during the term of the success payment agreement equals or exceeds the above outlined multiples. The valuation measurement dates are triggered by the following events: the one-year anniversary of the Company’s IPO and each two-year anniversary of the Company’s IPO thereafter, the closing of a change in control transaction and the last day of the term of the success payment agreement, unless the term has ended due to the closing of a change of control transaction. As of March 31, 2026, no success payments have been incurred as the per share fair value of the Company’s common stock was below the price required for payment.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success payment liability was $0.3 million and $0.4 million as of March 31, 2026 and December 31, 2025, respectively, which is recognized in accrued liabilities and other current liabilities. With respect to the Fred Hutch Collaboration Agreement success payment obligations, the Company recognized success payment expense reversals of $0.1 million and approximately zero for the three months ended March 31, 2026 and 2025, respectively, which are recognized in other income, net.</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Stanford</w:t>
      </w:r>
    </w:p>
    <w:p>
      <w:pPr>
        <w:pStyle w:val="TextBody"/>
        <w:bidi w:val="0"/>
        <w:spacing w:lineRule="auto" w:line="288" w:before="120" w:after="283"/>
        <w:ind w:left="0" w:right="0" w:firstLine="720"/>
        <w:jc w:val="left"/>
        <w:rPr/>
      </w:pPr>
      <w:r>
        <w:rPr>
          <w:rFonts w:ascii="Times New Roman;serif" w:hAnsi="Times New Roman;serif"/>
          <w:b/>
          <w:color w:val="000000"/>
          <w:sz w:val="20"/>
        </w:rPr>
        <w:t xml:space="preserve">License Agreement </w:t>
      </w:r>
      <w:r>
        <w:rPr>
          <w:rFonts w:ascii="Times New Roman;serif" w:hAnsi="Times New Roman;serif"/>
          <w:b w:val="false"/>
          <w:color w:val="000000"/>
          <w:sz w:val="20"/>
        </w:rPr>
        <w:t>- In 2019, the Company entered into a license agreement with The Board of Trustees of the Leland Stanford Junior University (“Stanford”) to license specified patent rights.</w:t>
      </w:r>
    </w:p>
    <w:p>
      <w:pPr>
        <w:pStyle w:val="TextBody"/>
        <w:bidi w:val="0"/>
        <w:spacing w:lineRule="auto" w:line="288" w:before="120" w:after="283"/>
        <w:ind w:left="0" w:right="0" w:firstLine="720"/>
        <w:jc w:val="left"/>
        <w:rPr/>
      </w:pPr>
      <w:r>
        <w:rPr>
          <w:rFonts w:ascii="Times New Roman;serif" w:hAnsi="Times New Roman;serif"/>
          <w:b/>
          <w:color w:val="000000"/>
          <w:sz w:val="20"/>
        </w:rPr>
        <w:t xml:space="preserve">Collaboration and Success Payments </w:t>
      </w:r>
      <w:r>
        <w:rPr>
          <w:rFonts w:ascii="Times New Roman;serif" w:hAnsi="Times New Roman;serif"/>
          <w:b w:val="false"/>
          <w:color w:val="000000"/>
          <w:sz w:val="20"/>
        </w:rPr>
        <w:t xml:space="preserve">- In October 2020, the Company entered into a research and collaboration agreement with Stanford (“Stanford Collaboration Agreement”), pursuant to which it granted Stanford rights to certain success payments. The potential payments for the Stanford Collaboration Agreement success payments are based on multiples of increased value ranging from 10 times to 50 times based on a comparison of the per share fair market value of the Company’s common stock relative to the original $36.58 per share issuance price of the Company’s Series A convertible preferred stock, which converted into an equal number of shares of the Company’s common stock in connection with the closing of the Company’s IPO. The aggregate success payments to Stanford are not to exceed $200.0 million, which would only occur upon a 50 times increase in value relative to the original $36.58 per share issuance price of the Company’s Series A convertible preferred stock. Each threshold is associated with a success payment, ascending from $10.0 million at $365.76 per share to $200.0 million at $1,828.80 per share, payable if such threshold is reached during the measurement period. The term of the success payment agreement ends on the earlier to occur of (i) October 1, 2029 (the nine-year anniversary of the date of the agreement) and (ii) a change in control transaction.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aggregate potential success payments, which are payable to Stanford in cash or cash equivalents, or at the Company’s discretion, publicly-tradeable shares of the Company’s common stock:</w:t>
      </w:r>
    </w:p>
    <w:tbl>
      <w:tblPr>
        <w:tblW w:w="10205" w:type="dxa"/>
        <w:jc w:val="left"/>
        <w:tblInd w:w="0" w:type="dxa"/>
        <w:tblLayout w:type="fixed"/>
        <w:tblCellMar>
          <w:top w:w="28" w:type="dxa"/>
          <w:left w:w="28" w:type="dxa"/>
          <w:bottom w:w="28" w:type="dxa"/>
          <w:right w:w="28" w:type="dxa"/>
        </w:tblCellMar>
      </w:tblPr>
      <w:tblGrid>
        <w:gridCol w:w="1180"/>
        <w:gridCol w:w="1006"/>
        <w:gridCol w:w="1010"/>
        <w:gridCol w:w="211"/>
        <w:gridCol w:w="721"/>
        <w:gridCol w:w="109"/>
        <w:gridCol w:w="109"/>
        <w:gridCol w:w="109"/>
        <w:gridCol w:w="109"/>
        <w:gridCol w:w="211"/>
        <w:gridCol w:w="721"/>
        <w:gridCol w:w="109"/>
        <w:gridCol w:w="109"/>
        <w:gridCol w:w="109"/>
        <w:gridCol w:w="109"/>
        <w:gridCol w:w="211"/>
        <w:gridCol w:w="871"/>
        <w:gridCol w:w="109"/>
        <w:gridCol w:w="109"/>
        <w:gridCol w:w="109"/>
        <w:gridCol w:w="109"/>
        <w:gridCol w:w="211"/>
        <w:gridCol w:w="871"/>
        <w:gridCol w:w="109"/>
        <w:gridCol w:w="109"/>
        <w:gridCol w:w="109"/>
        <w:gridCol w:w="109"/>
        <w:gridCol w:w="211"/>
        <w:gridCol w:w="871"/>
        <w:gridCol w:w="155"/>
      </w:tblGrid>
      <w:tr>
        <w:trPr/>
        <w:tc>
          <w:tcPr>
            <w:tcW w:w="118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19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Multiple of initial equity value at issuance</w:t>
            </w:r>
          </w:p>
        </w:tc>
        <w:tc>
          <w:tcPr>
            <w:tcW w:w="104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000000"/>
                <w:sz w:val="20"/>
              </w:rPr>
            </w:pPr>
            <w:r>
              <w:rPr>
                <w:rFonts w:ascii="Times New Roman;serif" w:hAnsi="Times New Roman;serif"/>
                <w:b/>
                <w:color w:val="000000"/>
                <w:sz w:val="20"/>
              </w:rPr>
              <w:t>10x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000000"/>
                <w:sz w:val="20"/>
              </w:rPr>
            </w:pPr>
            <w:r>
              <w:rPr>
                <w:rFonts w:ascii="Times New Roman;serif" w:hAnsi="Times New Roman;serif"/>
                <w:b/>
                <w:color w:val="000000"/>
                <w:sz w:val="20"/>
              </w:rPr>
              <w:t>20x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000000"/>
                <w:sz w:val="20"/>
              </w:rPr>
            </w:pPr>
            <w:r>
              <w:rPr>
                <w:rFonts w:ascii="Times New Roman;serif" w:hAnsi="Times New Roman;serif"/>
                <w:b/>
                <w:color w:val="000000"/>
                <w:sz w:val="20"/>
              </w:rPr>
              <w:t>30x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000000"/>
                <w:sz w:val="20"/>
              </w:rPr>
            </w:pPr>
            <w:r>
              <w:rPr>
                <w:rFonts w:ascii="Times New Roman;serif" w:hAnsi="Times New Roman;serif"/>
                <w:b/>
                <w:color w:val="000000"/>
                <w:sz w:val="20"/>
              </w:rPr>
              <w:t>40x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000000"/>
                <w:sz w:val="20"/>
              </w:rPr>
            </w:pPr>
            <w:r>
              <w:rPr>
                <w:rFonts w:ascii="Times New Roman;serif" w:hAnsi="Times New Roman;serif"/>
                <w:b/>
                <w:color w:val="000000"/>
                <w:sz w:val="20"/>
              </w:rPr>
              <w:t>50x</w:t>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Per share common stock price required for payment</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365.76 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731.52 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1,097.28 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1,463.04 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1,828.80 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success payment(s) (in millions)</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success payments will be owed if the per share fair value of the Company’s common stock on the contractually specified valuation measurement dates during the term of the success payment agreement equals or exceeds the above outlined multiples. The valuation measurement dates are triggered by the following events: the one-year anniversary of the Company’s IPO and each two-year anniversary of the Company’s IPO thereafter, the closing of a change in control transaction and the last day of the term of the success payment agreement, unless the term has ended due to the closing of a change of control transaction. As of March 31, 2026, no success payments have been incurred as the per share fair value of the Company’s common stock was below the price required for payment.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success payment liability was $0.6 million and $0.8 million as of March 31, 2026 and December 31, 2025, respectively, which is recognized in accrued liabilities and other current liabilities. With respect to the Stanford Collaboration Agreement success payment obligations, the Company recognized success payment expense reversals of $0.2 million and $0.1 million for the three months ended March 31, 2026 and 2025, respectively, which are recognized in other income, net.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5. Cash Equivalents and Marketable Securities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and amortized cost of cash equivalents and fixed income marketable securities by major security type are as follows (in thousands):</w:t>
      </w:r>
    </w:p>
    <w:tbl>
      <w:tblPr>
        <w:tblW w:w="10205" w:type="dxa"/>
        <w:jc w:val="left"/>
        <w:tblInd w:w="0" w:type="dxa"/>
        <w:tblLayout w:type="fixed"/>
        <w:tblCellMar>
          <w:top w:w="28" w:type="dxa"/>
          <w:left w:w="28" w:type="dxa"/>
          <w:bottom w:w="28" w:type="dxa"/>
          <w:right w:w="28" w:type="dxa"/>
        </w:tblCellMar>
      </w:tblPr>
      <w:tblGrid>
        <w:gridCol w:w="1809"/>
        <w:gridCol w:w="1580"/>
        <w:gridCol w:w="1587"/>
        <w:gridCol w:w="235"/>
        <w:gridCol w:w="925"/>
        <w:gridCol w:w="121"/>
        <w:gridCol w:w="109"/>
        <w:gridCol w:w="109"/>
        <w:gridCol w:w="109"/>
        <w:gridCol w:w="257"/>
        <w:gridCol w:w="495"/>
        <w:gridCol w:w="134"/>
        <w:gridCol w:w="109"/>
        <w:gridCol w:w="109"/>
        <w:gridCol w:w="109"/>
        <w:gridCol w:w="257"/>
        <w:gridCol w:w="495"/>
        <w:gridCol w:w="134"/>
        <w:gridCol w:w="109"/>
        <w:gridCol w:w="109"/>
        <w:gridCol w:w="109"/>
        <w:gridCol w:w="211"/>
        <w:gridCol w:w="826"/>
        <w:gridCol w:w="158"/>
      </w:tblGrid>
      <w:tr>
        <w:trPr/>
        <w:tc>
          <w:tcPr>
            <w:tcW w:w="1809"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9" w:type="dxa"/>
            <w:gridSpan w:val="21"/>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4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 xml:space="preserve">Amortized Cost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Gross</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Unrealized</w:t>
            </w:r>
          </w:p>
          <w:p>
            <w:pPr>
              <w:pStyle w:val="TableContents"/>
              <w:bidi w:val="0"/>
              <w:spacing w:lineRule="auto" w:line="312" w:before="0" w:after="0"/>
              <w:jc w:val="center"/>
              <w:rPr/>
            </w:pPr>
            <w:r>
              <w:rPr>
                <w:rFonts w:ascii="Times New Roman;serif" w:hAnsi="Times New Roman;serif"/>
                <w:b/>
                <w:color w:val="000000"/>
                <w:sz w:val="16"/>
              </w:rPr>
              <w:t>Losses</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97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64,472 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64,472 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156,460 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156,458 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13,907 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13,902 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9,419 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9,417 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equivalents and fixed income marketable securities</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244,258 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244,249 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351" w:type="dxa"/>
        <w:jc w:val="left"/>
        <w:tblInd w:w="0" w:type="dxa"/>
        <w:tblLayout w:type="fixed"/>
        <w:tblCellMar>
          <w:top w:w="28" w:type="dxa"/>
          <w:left w:w="28" w:type="dxa"/>
          <w:bottom w:w="28" w:type="dxa"/>
          <w:right w:w="28" w:type="dxa"/>
        </w:tblCellMar>
      </w:tblPr>
      <w:tblGrid>
        <w:gridCol w:w="1868"/>
        <w:gridCol w:w="1643"/>
        <w:gridCol w:w="1649"/>
        <w:gridCol w:w="211"/>
        <w:gridCol w:w="826"/>
        <w:gridCol w:w="154"/>
      </w:tblGrid>
      <w:tr>
        <w:trPr/>
        <w:tc>
          <w:tcPr>
            <w:tcW w:w="186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16"/>
              </w:rPr>
            </w:pPr>
            <w:r>
              <w:rPr>
                <w:rFonts w:ascii="Times New Roman;serif" w:hAnsi="Times New Roman;serif"/>
                <w:b/>
                <w:color w:val="000000"/>
                <w:sz w:val="16"/>
              </w:rPr>
              <w:t>Classified as:</w:t>
            </w:r>
          </w:p>
        </w:tc>
        <w:tc>
          <w:tcPr>
            <w:tcW w:w="119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74,042 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163,253 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6,954 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equivalents and fixed income 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244,249 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09"/>
        <w:gridCol w:w="1580"/>
        <w:gridCol w:w="1587"/>
        <w:gridCol w:w="235"/>
        <w:gridCol w:w="925"/>
        <w:gridCol w:w="121"/>
        <w:gridCol w:w="109"/>
        <w:gridCol w:w="109"/>
        <w:gridCol w:w="109"/>
        <w:gridCol w:w="237"/>
        <w:gridCol w:w="525"/>
        <w:gridCol w:w="124"/>
        <w:gridCol w:w="109"/>
        <w:gridCol w:w="109"/>
        <w:gridCol w:w="109"/>
        <w:gridCol w:w="257"/>
        <w:gridCol w:w="495"/>
        <w:gridCol w:w="134"/>
        <w:gridCol w:w="109"/>
        <w:gridCol w:w="109"/>
        <w:gridCol w:w="109"/>
        <w:gridCol w:w="211"/>
        <w:gridCol w:w="826"/>
        <w:gridCol w:w="158"/>
      </w:tblGrid>
      <w:tr>
        <w:trPr/>
        <w:tc>
          <w:tcPr>
            <w:tcW w:w="1809"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9" w:type="dxa"/>
            <w:gridSpan w:val="21"/>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 xml:space="preserve">Amortized Cost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Gross</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Unrealized</w:t>
            </w:r>
          </w:p>
          <w:p>
            <w:pPr>
              <w:pStyle w:val="TableContents"/>
              <w:bidi w:val="0"/>
              <w:spacing w:lineRule="auto" w:line="312" w:before="0" w:after="0"/>
              <w:jc w:val="center"/>
              <w:rPr/>
            </w:pPr>
            <w:r>
              <w:rPr>
                <w:rFonts w:ascii="Times New Roman;serif" w:hAnsi="Times New Roman;serif"/>
                <w:b/>
                <w:color w:val="000000"/>
                <w:sz w:val="16"/>
              </w:rPr>
              <w:t>Losses</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97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49,766 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49,766 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175,839 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176,072 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6,528 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equivalents and fixed income marketable securities</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236,563 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236,805 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351" w:type="dxa"/>
        <w:jc w:val="left"/>
        <w:tblInd w:w="0" w:type="dxa"/>
        <w:tblLayout w:type="fixed"/>
        <w:tblCellMar>
          <w:top w:w="28" w:type="dxa"/>
          <w:left w:w="28" w:type="dxa"/>
          <w:bottom w:w="28" w:type="dxa"/>
          <w:right w:w="28" w:type="dxa"/>
        </w:tblCellMar>
      </w:tblPr>
      <w:tblGrid>
        <w:gridCol w:w="1868"/>
        <w:gridCol w:w="1643"/>
        <w:gridCol w:w="1649"/>
        <w:gridCol w:w="211"/>
        <w:gridCol w:w="826"/>
        <w:gridCol w:w="154"/>
      </w:tblGrid>
      <w:tr>
        <w:trPr/>
        <w:tc>
          <w:tcPr>
            <w:tcW w:w="186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16"/>
              </w:rPr>
            </w:pPr>
            <w:r>
              <w:rPr>
                <w:rFonts w:ascii="Times New Roman;serif" w:hAnsi="Times New Roman;serif"/>
                <w:b/>
                <w:color w:val="000000"/>
                <w:sz w:val="16"/>
              </w:rPr>
              <w:t>Classified as:</w:t>
            </w:r>
          </w:p>
        </w:tc>
        <w:tc>
          <w:tcPr>
            <w:tcW w:w="119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49,766 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187,039 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equivalents and fixed income 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236,805 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pPr>
      <w:r>
        <w:rPr>
          <w:rFonts w:ascii="Times New Roman;serif" w:hAnsi="Times New Roman;serif"/>
          <w:b w:val="false"/>
          <w:color w:val="000000"/>
          <w:sz w:val="20"/>
        </w:rPr>
        <w:t>The fair values of money market and fixed income marketable securities held by the Company in an unrealized loss position for less than 12 months were $97.9 million and zero as of March 31, 2026 and December 31, 2025, respectively. The fair values of money market and fixed income marketable securities held by the Company in an unrealized loss position for greater than 12 months were zero as of both March 31, 2026 and December 31, 2025. As of March 31, 2026 and December 31, 2025, all of the Company’s money market and fixed income marketable securities had a maturity date of two years or less, were available for use and were classified as available</w:t>
        <w:noBreakHyphen/>
        <w:t>for</w:t>
        <w:noBreakHyphen/>
        <w:t xml:space="preserve">sale. The Company does not intend to sell these securities nor does the Company believe that it will be required to sell these securities before recovery of their amortized cost basis. The Company determined that there was no material change in the credit risk of the above investments as of both March 31, 2026 and December 31, 2025. As such, an allowance for credit losses has not been recognized. Gross realized gains and losses were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 xml:space="preserve">for the three months ended March 31, 2026 and 2025 and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pPr>
      <w:r>
        <w:rPr>
          <w:rFonts w:ascii="Times New Roman;serif" w:hAnsi="Times New Roman;serif"/>
          <w:b w:val="false"/>
          <w:color w:val="000000"/>
          <w:sz w:val="20"/>
        </w:rPr>
        <w:t xml:space="preserve">result, amounts reclassified out of accumulated other comprehensive income for the three months ended March 31, 2026 and 2025 were also </w:t>
      </w:r>
      <w:r>
        <w:rPr>
          <w:rFonts w:ascii="Times New Roman;serif" w:hAnsi="Times New Roman;serif"/>
          <w:b w:val="false"/>
          <w:i/>
          <w:color w:val="000000"/>
          <w:sz w:val="20"/>
        </w:rPr>
        <w:t>de minimis</w:t>
      </w:r>
      <w:r>
        <w:rPr>
          <w:rFonts w:ascii="Times New Roman;serif" w:hAnsi="Times New Roman;serif"/>
          <w:b w:val="false"/>
          <w:color w:val="000000"/>
          <w:sz w:val="20"/>
        </w:rPr>
        <w:t xml:space="preserve">. See Note 7, </w:t>
      </w:r>
      <w:r>
        <w:rPr>
          <w:rFonts w:ascii="Times New Roman;serif" w:hAnsi="Times New Roman;serif"/>
          <w:b w:val="false"/>
          <w:i/>
          <w:color w:val="000000"/>
          <w:sz w:val="20"/>
        </w:rPr>
        <w:t>Fair Value Measurements,</w:t>
      </w:r>
      <w:r>
        <w:rPr>
          <w:color w:val="000000"/>
        </w:rPr>
        <w:t xml:space="preserve"> </w:t>
      </w:r>
      <w:r>
        <w:rPr>
          <w:rFonts w:ascii="Times New Roman;serif" w:hAnsi="Times New Roman;serif"/>
          <w:b w:val="false"/>
          <w:color w:val="000000"/>
          <w:sz w:val="20"/>
        </w:rPr>
        <w:t>for additional information regarding cash equivalents and fixed income marketable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6. Other Investments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prior years the Company made minority ownership strategic investments. As of both March 31, 2026 and December 31, 2025, the aggregate carrying amount of the Company’s strategic investments in non-publicly traded companies was $19.0 million. These investments are measured at initial cost, minus impairment, if any, and plus or minus changes resulting from observable price changes in orderly transactions for the identical or a similar investment of the same issuer. Cumulative impairments of strategic investments in equity investments without readily determinable fair values still held as of both March 31, 2026 and December 31, 2025 were $23.0 million, reflecting the full impairment of two of the Company’s other investments.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part of the acquisition of each of the Company’s other investments, the Company determines whether an investment or other interest is considered a variable interest. As of both March 31, 2026 and December 31, 2025, the Company held an interest in one entity that was concluded to be a variable interest for which the Company was not the primary beneficiary as the Company did not have the power to direct the activities that most significantly impact the economic performance of the variable interest entity. As of both March 31, 2026 and December 31, 2025, the carrying value and maximum exposure to loss of the Company’s variable interests was zero.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7. Fair Value Measurements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fair value of the Company’s financial assets and liabilities measured at fair value on a recurring basis based on the three-tier fair value hierarchy (in thousands):</w:t>
      </w:r>
    </w:p>
    <w:tbl>
      <w:tblPr>
        <w:tblW w:w="8054" w:type="dxa"/>
        <w:jc w:val="left"/>
        <w:tblInd w:w="0" w:type="dxa"/>
        <w:tblLayout w:type="fixed"/>
        <w:tblCellMar>
          <w:top w:w="28" w:type="dxa"/>
          <w:left w:w="28" w:type="dxa"/>
          <w:bottom w:w="28" w:type="dxa"/>
          <w:right w:w="28" w:type="dxa"/>
        </w:tblCellMar>
      </w:tblPr>
      <w:tblGrid>
        <w:gridCol w:w="1053"/>
        <w:gridCol w:w="925"/>
        <w:gridCol w:w="931"/>
        <w:gridCol w:w="211"/>
        <w:gridCol w:w="721"/>
        <w:gridCol w:w="109"/>
        <w:gridCol w:w="109"/>
        <w:gridCol w:w="109"/>
        <w:gridCol w:w="109"/>
        <w:gridCol w:w="211"/>
        <w:gridCol w:w="826"/>
        <w:gridCol w:w="109"/>
        <w:gridCol w:w="109"/>
        <w:gridCol w:w="109"/>
        <w:gridCol w:w="109"/>
        <w:gridCol w:w="211"/>
        <w:gridCol w:w="466"/>
        <w:gridCol w:w="109"/>
        <w:gridCol w:w="109"/>
        <w:gridCol w:w="109"/>
        <w:gridCol w:w="109"/>
        <w:gridCol w:w="211"/>
        <w:gridCol w:w="826"/>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64,472 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64,472 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156,458 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156,458 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9,417 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64,472 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179,777 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244,249 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Success payment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309" w:type="dxa"/>
        <w:jc w:val="left"/>
        <w:tblInd w:w="0" w:type="dxa"/>
        <w:tblLayout w:type="fixed"/>
        <w:tblCellMar>
          <w:top w:w="28" w:type="dxa"/>
          <w:left w:w="28" w:type="dxa"/>
          <w:bottom w:w="28" w:type="dxa"/>
          <w:right w:w="28" w:type="dxa"/>
        </w:tblCellMar>
      </w:tblPr>
      <w:tblGrid>
        <w:gridCol w:w="1053"/>
        <w:gridCol w:w="925"/>
        <w:gridCol w:w="931"/>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21"/>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49,766 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49,766 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176,072 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176,072 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49,766 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187,039 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236,805 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SPA put/call</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Success payment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12,653 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12,653 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measures the fair value of money market funds based on quoted prices in active markets for identical assets. The Company measures the fair value of marketable equity securities traded in active markets based on quoted prices of identical assets. The Level 2 marketable securities include U.S. Treasury securities, U.S. government agency securities and corporate debt securities, which are valued using third-party pricing sources. The pricing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applied industry standard valuation models. Inputs utilized include market pricing based on real-time trade data for the same or similar securities and other significant inputs derived from or corroborated by observable market data.</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2025, the Company completed a $50.0 million equity financing under a Securities Purchase Agreement (the “SPA”) with certain institutional and other accredited investors (the “Purchasers”) that provided both the Company and the Purchasers with mutually exclusive rights, but not obligations, to purchase or sell additional shares of the Company’s common stock (or pre-funded warrants in lieu thereof) under specified conditions. These rights included (i) the Company’s option to require investors to purchase additional equity securities upon the achievement of a defined milestone event (the “Milestone Closing”) and (ii) the investors’ option to purchase a similar dollar amount of equity securities at a fixed price prior to the Milestone Closing (the “Investor Call Closing”). Because the Milestone Closing and Investor Call Closing were mutually exclusive, they were accounted for as a single combined financial instrument (the “SPA put/call”). </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Pursuant to the SPA, following the achievement of the applicable milestone, the Company initiated the Milestone Closing and on March 6, 2026, the Company sold and issued 1,952,360 shares of common stock at a purchase price per share of $25.61 at the Milestone Closing, for gross proceeds of approximately $50.0 million. Prior to exercise, the SPA put/call was presented within accrued liabilities and other current liabilities on the Company’s consolidated balance sheet as of December 31, 2025. See Note 9, </w:t>
      </w:r>
      <w:r>
        <w:rPr>
          <w:rFonts w:ascii="Times New Roman;serif" w:hAnsi="Times New Roman;serif"/>
          <w:b w:val="false"/>
          <w:i/>
          <w:color w:val="000000"/>
          <w:sz w:val="20"/>
        </w:rPr>
        <w:t>Stockholders’ Equity - Securities Purchase Agreement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for additional information regarding the SPA put/call.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 to exercise, the SPA put/call was classified as a Level 3 financial instrument and the fair value was estimated using a Monte Carlo simulation valuation method including the following assumptions as of December 31, 2025:</w:t>
      </w:r>
    </w:p>
    <w:tbl>
      <w:tblPr>
        <w:tblW w:w="3257" w:type="dxa"/>
        <w:jc w:val="left"/>
        <w:tblInd w:w="0" w:type="dxa"/>
        <w:tblLayout w:type="fixed"/>
        <w:tblCellMar>
          <w:top w:w="28" w:type="dxa"/>
          <w:left w:w="28" w:type="dxa"/>
          <w:bottom w:w="28" w:type="dxa"/>
          <w:right w:w="28" w:type="dxa"/>
        </w:tblCellMar>
      </w:tblPr>
      <w:tblGrid>
        <w:gridCol w:w="750"/>
        <w:gridCol w:w="658"/>
        <w:gridCol w:w="661"/>
        <w:gridCol w:w="255"/>
        <w:gridCol w:w="256"/>
        <w:gridCol w:w="677"/>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Time to maturity (years)</w:t>
            </w:r>
          </w:p>
        </w:tc>
        <w:tc>
          <w:tcPr>
            <w:tcW w:w="11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0.67</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51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67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the Milestone Closing on March 6, 2026, the fair value of the SPA put/call was determined based on the intrinsic value of the instrument (the difference between the exercise price of $25.61 and the Company’s closing stock price of $22.46). As the valuation was derived from observable inputs, the SPA put/call was classified as a Level 2 financial instrument at the time of settlement. Following the issuance of the shares, the instrument was settled and the carrying value of approximately $6.1 million was reclassified to stockholders’ equity.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success payment liabilities are classified as Level 3 financial instruments. Prior to its settlement on March 6, 2026, the SPA put/call was also classified as a Level 3 financial instrument. The success payment liabilities were estimated by management using its historical experience of the correlation of success payment fair values relative to the Company’s stock price.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utilizes estimates and assumptions in determining the estimated success payment liabilities and SPA put/call and associated changes in fair value. A small change in the value of the Company’s common stock may result in a relatively large change in the estimated fair value of the success payment liabilities and the SPA put/call prior to settlement and associated changes in fair value. Prior to its settlement, a small change in management’s assessment of the likelihood of achieving either a clinical milestone relating to the Company’s ongoing PiNACLE pivotal trial or certain other corporate milestones relevant to the SPA put/call could have resulted in a material change in its estimated fair value.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the changes in the fair value of the Company’s Level 3 financial instruments (in thousands):</w:t>
      </w:r>
    </w:p>
    <w:tbl>
      <w:tblPr>
        <w:tblW w:w="6550" w:type="dxa"/>
        <w:jc w:val="left"/>
        <w:tblInd w:w="0" w:type="dxa"/>
        <w:tblLayout w:type="fixed"/>
        <w:tblCellMar>
          <w:top w:w="28" w:type="dxa"/>
          <w:left w:w="28" w:type="dxa"/>
          <w:bottom w:w="28" w:type="dxa"/>
          <w:right w:w="28" w:type="dxa"/>
        </w:tblCellMar>
      </w:tblPr>
      <w:tblGrid>
        <w:gridCol w:w="940"/>
        <w:gridCol w:w="826"/>
        <w:gridCol w:w="828"/>
        <w:gridCol w:w="297"/>
        <w:gridCol w:w="869"/>
        <w:gridCol w:w="153"/>
        <w:gridCol w:w="109"/>
        <w:gridCol w:w="109"/>
        <w:gridCol w:w="109"/>
        <w:gridCol w:w="449"/>
        <w:gridCol w:w="1534"/>
        <w:gridCol w:w="327"/>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Success Payment</w:t>
              <w:b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SPA Put/Call (Asset) Liability</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11,411 </w:t>
            </w:r>
          </w:p>
        </w:tc>
        <w:tc>
          <w:tcPr>
            <w:tcW w:w="3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000000"/>
                <w:sz w:val="20"/>
              </w:rPr>
              <w:t>Change in fair value</w:t>
            </w:r>
            <w:r>
              <w:rPr>
                <w:color w:val="000000"/>
              </w:rPr>
              <w:t xml:space="preserve"> </w:t>
            </w:r>
            <w:r>
              <w:rPr>
                <w:rFonts w:ascii="Times New Roman;serif" w:hAnsi="Times New Roman;serif"/>
                <w:b w:val="false"/>
                <w:color w:val="000000"/>
                <w:sz w:val="13"/>
              </w:rPr>
              <w:t>(1)</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(17,561)</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via equity issuance</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6,150 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change in fair value of the success payment liabilities and SPA put/call are recorded in other income,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8. Leases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lease portfolio is comprised of operating leases for laboratory, office and manufacturing facilities located in South San Francisco and Los Angeles, California, and Seattle and Bothell, Washington with contractual periods expiring between January 2028 and March 2031. In addition to minimum rent, the leases require payment of real estate taxes, insurance, common area maintenance charges and other executory costs. These additional charges are considered variable lease costs and are recognized in the period in which the costs are incurred.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future minimum operating lease commitments as of March 31, 2026 (in thousands):</w:t>
      </w:r>
    </w:p>
    <w:tbl>
      <w:tblPr>
        <w:tblW w:w="9036" w:type="dxa"/>
        <w:jc w:val="left"/>
        <w:tblInd w:w="0" w:type="dxa"/>
        <w:tblLayout w:type="fixed"/>
        <w:tblCellMar>
          <w:top w:w="28" w:type="dxa"/>
          <w:left w:w="28" w:type="dxa"/>
          <w:bottom w:w="28" w:type="dxa"/>
          <w:right w:w="28" w:type="dxa"/>
        </w:tblCellMar>
      </w:tblPr>
      <w:tblGrid>
        <w:gridCol w:w="2883"/>
        <w:gridCol w:w="2531"/>
        <w:gridCol w:w="2536"/>
        <w:gridCol w:w="211"/>
        <w:gridCol w:w="721"/>
        <w:gridCol w:w="154"/>
      </w:tblGrid>
      <w:tr>
        <w:trPr/>
        <w:tc>
          <w:tcPr>
            <w:tcW w:w="2883"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Year Ending December 31:</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2026 (remaining nine months)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9,772 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58,704 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(9,853)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48,851 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Reported as of March 31, 2026:</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portion of lease liabilities (included in accrued liabilities and other 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39,487 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48,851 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The operating lease costs for all operating leases were $2.1 million and $2.4 million for the three months ended March 31, 2026 and 2025, respectively. The operating lease costs and total commitments for short-term leases were </w:t>
      </w:r>
      <w:r>
        <w:rPr>
          <w:rFonts w:ascii="Times New Roman;serif" w:hAnsi="Times New Roman;serif"/>
          <w:b w:val="false"/>
          <w:i/>
          <w:color w:val="000000"/>
          <w:sz w:val="20"/>
        </w:rPr>
        <w:t xml:space="preserve">de minimis </w:t>
      </w:r>
      <w:r>
        <w:rPr>
          <w:rFonts w:ascii="Times New Roman;serif" w:hAnsi="Times New Roman;serif"/>
          <w:b w:val="false"/>
          <w:color w:val="000000"/>
          <w:sz w:val="20"/>
        </w:rPr>
        <w:t>for the three months ended March 31, 2026 and 2025. Variable lease costs for operating leases were $1.5 million and $1.9 million for the three months ended March 31, 2026 and 2025, respectively. The weighted-average remaining lease terms for operating leases were 4.5 and 4.8 years as of March 31, 2026 and December 31, 2025, respectively. The weighted</w:t>
        <w:noBreakHyphen/>
        <w:t>average discount rate for operating leases was 8.5% as of both March 31, 2026 and December 31, 2025.</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subleases in May 2021 and September 2024, whereby the Company agreed to sublease approximately 11,000 and 12,150 square feet, respectively, of its currently leased space in South San Francisco, California. These subleases are classified as operating leases and will expire in March 2031 and July 2026, respectively. </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In September 2021, the Company entered into a sublease with Sonoma Biotherapeutics, Inc. (“Sonoma”), a related party, whereby the Company agreed to sublease approximately 18,000 square feet of space in South San Francisco, California currently leased by the Company. See Note 13, </w:t>
      </w:r>
      <w:r>
        <w:rPr>
          <w:rFonts w:ascii="Times New Roman;serif" w:hAnsi="Times New Roman;serif"/>
          <w:b w:val="false"/>
          <w:i/>
          <w:color w:val="000000"/>
          <w:sz w:val="20"/>
        </w:rPr>
        <w:t>Related-Party Transactions.</w:t>
      </w:r>
      <w:r>
        <w:rPr>
          <w:color w:val="000000"/>
        </w:rPr>
        <w:t xml:space="preserve"> </w:t>
      </w:r>
      <w:r>
        <w:rPr>
          <w:rFonts w:ascii="Times New Roman;serif" w:hAnsi="Times New Roman;serif"/>
          <w:b w:val="false"/>
          <w:color w:val="000000"/>
          <w:sz w:val="20"/>
        </w:rPr>
        <w:t>As a part of the sublease, in September 2021, the Company received a $4.6 million tenant improvement contribution payment, which is recognized over the term of the sublease. The sublease is classified as an operating lease and will expire in September 2026.</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sublease income is recognized within other operating income, net in the condensed consolidated statements of operations and comprehensive loss. Total operating income from the subleases and income solely attributable to the subleases are shown in the table below (in thousands). Total operating income includes income attributable to the subleases, as well as additional operating fees recognized in other operating income, net such as common area maintenance charges.</w:t>
      </w:r>
    </w:p>
    <w:tbl>
      <w:tblPr>
        <w:tblW w:w="6415" w:type="dxa"/>
        <w:jc w:val="left"/>
        <w:tblInd w:w="0" w:type="dxa"/>
        <w:tblLayout w:type="fixed"/>
        <w:tblCellMar>
          <w:top w:w="28" w:type="dxa"/>
          <w:left w:w="28" w:type="dxa"/>
          <w:bottom w:w="28" w:type="dxa"/>
          <w:right w:w="28" w:type="dxa"/>
        </w:tblCellMar>
      </w:tblPr>
      <w:tblGrid>
        <w:gridCol w:w="1195"/>
        <w:gridCol w:w="1049"/>
        <w:gridCol w:w="1055"/>
        <w:gridCol w:w="211"/>
        <w:gridCol w:w="616"/>
        <w:gridCol w:w="109"/>
        <w:gridCol w:w="109"/>
        <w:gridCol w:w="109"/>
        <w:gridCol w:w="109"/>
        <w:gridCol w:w="211"/>
        <w:gridCol w:w="616"/>
        <w:gridCol w:w="109"/>
        <w:gridCol w:w="109"/>
        <w:gridCol w:w="109"/>
        <w:gridCol w:w="109"/>
        <w:gridCol w:w="109"/>
        <w:gridCol w:w="109"/>
        <w:gridCol w:w="109"/>
        <w:gridCol w:w="109"/>
        <w:gridCol w:w="154"/>
      </w:tblGrid>
      <w:tr>
        <w:trPr/>
        <w:tc>
          <w:tcPr>
            <w:tcW w:w="119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Other operating income, net - subleases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9. Stockholders’ Equity</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authorized to issue 10 million shares of preferred stock with a par value of $0.0001 per share. As of March 31, 2026 and December 31, 2025, no shares of preferred stock were outstanding.</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authorized to issue 500 million shares of common stock with a par value of $0.0001 per share. As of March 31, 2026 and December 31, 2025, there were 23,328,390 shares and 21,251,353 shares of the Company’s common stock outstanding, respectively.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28, 2024, the Company entered into a sales agreement with TD Securities (USA) LLC, (formerly known as Cowen and Company, LLC) (“TD Cowen”) acting as the Company’s sales agent (the “Sales Agreement”), pursuant to which the Company may offer and sell shares of common stock having an aggregate offering price of up to $150.0 million from time to time in a series of one or more at</w:t>
        <w:noBreakHyphen/>
        <w:t>the</w:t>
        <w:noBreakHyphen/>
        <w:t>market equity offerings. The Company will pay TD Cowen commissions of up to 3.0% of the gross proceeds of the sale, and reimbursement of certain expenses, under this agreement. Neither the Company nor TD Cowen is obligated to sell any shares under the Sales Agreement. The Company sold 65,092 shares in at-the-market equity offerings valued at approximately $1.7 million during the three months ended March 31, 2026 and no shares during the three months ended March 31, 2025.</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Securities Purchase Agreement</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In July 2025, the Company entered into the SPA with the Purchasers, pursuant to which the Company sold and issued 3,753,752 shares of common stock at a purchase price of $13.32 per share at an initial closing, for gross proceeds of approximately $50.0 million. Pursuant to the SPA, following the achievement of the applicable milestone, the Company initiated the Milestone Closing and on March 6, 2026, the Company sold and issued 1,952,360 shares of common stock at a purchase price per share of $25.61 at the Milestone Closing, for gross proceeds of approximately $50.0 million. Following the issuance of the Milestone Closing shares, the instrument was settled and the carrying value of approximately $6.1 million was reclassified to stockholders’ equity. See Note 7, </w:t>
      </w:r>
      <w:r>
        <w:rPr>
          <w:rFonts w:ascii="Times New Roman;serif" w:hAnsi="Times New Roman;serif"/>
          <w:b w:val="false"/>
          <w:i/>
          <w:color w:val="000000"/>
          <w:sz w:val="20"/>
        </w:rPr>
        <w:t>Fair Value Measurements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for additional information regarding the valuation of the SPA put/call.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10. Stock-based Compensation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Equity Incentive and Employee Stock Purchase Plans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2021, the Company adopted the 2021 Equity Incentive Plan (“2021 Plan”) and the 2021 Employee Stock Purchase Plan (“2021 ESPP”), both of which became effective on the date of the underwriting agreement related to the Company’s IPO. Under the 2021 Plan, the Company may grant incentive stock options, non-statutory stock options, restricted stock awards (“RSAs”), restricted stock units (“RSUs”), performance-based restricted stock units (“PSUs”), stock appreciation rights, performance awards and other stock-based awards. The term of any stock option granted under the 2021 Plan cannot exceed ten years. Generally, stock options (other than performance-based stock options, discussed below) and RSU awards granted by the Company vest over four years but may be granted with different vesting terms. PSUs and PBOs generally vest over a three-year performance period, with vesting subject to the achievement of the associated performance condition. On January 1, 2026, the Company reserved an additional 1,062,567 shares of common stock for issuance under the 2021 Plan representing 5% of the total common shares outstanding as of December 31, 2025. On January 1, 2026 the Company also reserved 212,513 additional shares under the 2021 ESPP representing 1% of the total common shares outstanding as of December 31, 2025.</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2021 ESPP allows eligible employees to purchase shares of the Company’s common stock at a discount through payroll deductions of up to 15% of their earnings, subject to plan limitations. Unless otherwise determined by the Company’s board of directors, employees are able to purchase shares at 85% of the lower of the fair market value of the Company’s common stock on the first date of an offering or on the purchase date. Under the 2021 ESPP, no shares were issued for both the three months ended March 31, 2026 and 2025.</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2,390,019 and 413,346 shares were available for future issuance pursuant to the 2021 Plan and the 2021 ESPP,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Stock-based Compensation Expense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by classification included within the condensed consolidated statements of operations and comprehensive loss was as follows (in thousands):</w:t>
      </w:r>
    </w:p>
    <w:tbl>
      <w:tblPr>
        <w:tblW w:w="6130" w:type="dxa"/>
        <w:jc w:val="left"/>
        <w:tblInd w:w="0" w:type="dxa"/>
        <w:tblLayout w:type="fixed"/>
        <w:tblCellMar>
          <w:top w:w="28" w:type="dxa"/>
          <w:left w:w="28" w:type="dxa"/>
          <w:bottom w:w="28" w:type="dxa"/>
          <w:right w:w="28" w:type="dxa"/>
        </w:tblCellMar>
      </w:tblPr>
      <w:tblGrid>
        <w:gridCol w:w="1250"/>
        <w:gridCol w:w="1097"/>
        <w:gridCol w:w="1103"/>
        <w:gridCol w:w="211"/>
        <w:gridCol w:w="616"/>
        <w:gridCol w:w="109"/>
        <w:gridCol w:w="109"/>
        <w:gridCol w:w="109"/>
        <w:gridCol w:w="109"/>
        <w:gridCol w:w="211"/>
        <w:gridCol w:w="616"/>
        <w:gridCol w:w="109"/>
        <w:gridCol w:w="109"/>
        <w:gridCol w:w="109"/>
        <w:gridCol w:w="109"/>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4,295 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6,024 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March 31, 2026, total stock-based compensation cost related to unvested awards not yet recognized was $40.0 million, which is expected to be recognized over a remaining weighted-average period of 2.9 years.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Performance-Based Stock Options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During the three months ended March 31, 2025, the Company granted performance-based stock options (“PBOs”) to certain key employees. PBOs awarded to employees have a three-year performance period and vest based upon the Company’s performance against a two- and three-year relative total shareholder return (“rTSR”) metric or upon the achievement of certain clinical development milestones. Certain of the clinical development milestones were probable of achievement as of March 31, 2026, representing 7,062 shares. For the portion of PBOs subject to certain clinical development milestones, 50% vest upon the achievement of the applicable milestone and the remaining 50% vest upon the earlier of (a) one year of service from the date of such achievement and (b) the end of the three-year performance period. The vesting of all PBOs granted is also subject to the respective employee’s continued employment. The Company valued the portion of the PBOs subject to the rTSR metric using a Monte Carlo simulation. The number of PBOs granted subject to the rTSR metrics represents the target number of options that are eligible to be earned based on the achievement of the metrics established at the beginning of the performance period, which ends on December 31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0"/>
        </w:rPr>
        <w:t xml:space="preserve">of the three-year performance period. For the portion of PBOs subject to the rTSR metrics, employees may ultimately earn between zero and 200% of the target number of PBOs granted based on the degree of achievement of the applicable rTSR metric. Accordingly, additional PBOs may be issued or currently outstanding PBOs may be cancelled upon final determination of the degree of achievement of the applicable rTSR metric. PBOs have contractual terms of ten years from grant date.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the Company’s PBO activity was as follows:</w:t>
      </w:r>
    </w:p>
    <w:tbl>
      <w:tblPr>
        <w:tblW w:w="9272" w:type="dxa"/>
        <w:jc w:val="left"/>
        <w:tblInd w:w="0" w:type="dxa"/>
        <w:tblLayout w:type="fixed"/>
        <w:tblCellMar>
          <w:top w:w="28" w:type="dxa"/>
          <w:left w:w="28" w:type="dxa"/>
          <w:bottom w:w="28" w:type="dxa"/>
          <w:right w:w="28" w:type="dxa"/>
        </w:tblCellMar>
      </w:tblPr>
      <w:tblGrid>
        <w:gridCol w:w="1375"/>
        <w:gridCol w:w="1208"/>
        <w:gridCol w:w="1211"/>
        <w:gridCol w:w="294"/>
        <w:gridCol w:w="294"/>
        <w:gridCol w:w="296"/>
        <w:gridCol w:w="109"/>
        <w:gridCol w:w="109"/>
        <w:gridCol w:w="109"/>
        <w:gridCol w:w="253"/>
        <w:gridCol w:w="741"/>
        <w:gridCol w:w="131"/>
        <w:gridCol w:w="109"/>
        <w:gridCol w:w="109"/>
        <w:gridCol w:w="109"/>
        <w:gridCol w:w="439"/>
        <w:gridCol w:w="439"/>
        <w:gridCol w:w="441"/>
        <w:gridCol w:w="109"/>
        <w:gridCol w:w="109"/>
        <w:gridCol w:w="109"/>
        <w:gridCol w:w="251"/>
        <w:gridCol w:w="735"/>
        <w:gridCol w:w="183"/>
      </w:tblGrid>
      <w:tr>
        <w:trPr/>
        <w:tc>
          <w:tcPr>
            <w:tcW w:w="1375"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Number of</w:t>
            </w:r>
          </w:p>
          <w:p>
            <w:pPr>
              <w:pStyle w:val="TableContents"/>
              <w:bidi w:val="0"/>
              <w:spacing w:lineRule="auto" w:line="312" w:before="0" w:after="0"/>
              <w:jc w:val="center"/>
              <w:rPr/>
            </w:pPr>
            <w:r>
              <w:rPr>
                <w:rFonts w:ascii="Times New Roman;serif" w:hAnsi="Times New Roman;serif"/>
                <w:b/>
                <w:color w:val="000000"/>
                <w:sz w:val="16"/>
              </w:rPr>
              <w:t>PBOs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w:t>
              <w:br/>
              <w:t>(in thousands)</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000000"/>
                <w:sz w:val="20"/>
              </w:rPr>
              <w:t>PBOs outstanding as of December 31, 2025</w:t>
            </w:r>
            <w:r>
              <w:rPr>
                <w:rFonts w:ascii="Times New Roman;serif" w:hAnsi="Times New Roman;serif"/>
                <w:b w:val="false"/>
                <w:color w:val="000000"/>
                <w:sz w:val="13"/>
              </w:rPr>
              <w:t>(1)</w:t>
            </w:r>
          </w:p>
        </w:tc>
        <w:tc>
          <w:tcPr>
            <w:tcW w:w="8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98,868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1,949 </w:t>
            </w:r>
          </w:p>
        </w:tc>
        <w:tc>
          <w:tcPr>
            <w:tcW w:w="1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Canceled or forfeited</w:t>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PBOs outstanding as of March 31, 2026</w:t>
            </w:r>
          </w:p>
        </w:tc>
        <w:tc>
          <w:tcPr>
            <w:tcW w:w="8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98,868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PBOs exercisable as of March 31, 2026</w:t>
            </w:r>
          </w:p>
        </w:tc>
        <w:tc>
          <w:tcPr>
            <w:tcW w:w="58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2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(1)     PBOs outstanding reflect the target number of shares eligible to be earned at the time of grant.</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Performance-Based Restricted Stock Units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PSUs have a three-year performance period and vest based upon the Company’s performance against a two- and three-year rTSR metric or upon the achievement of certain clinical development milestones. Certain of the clinical development milestones were determined to be probable of achievement as of March 31, 2026, representing 29,118 shares. For the portion of PSUs subject to certain clinical development milestones (other than the bonus clinical development milestone), 50% vest upon the achievement of the applicable milestone, and the remaining 50% vest upon the earlier of (a) one year of service from the date of such achievement and (b) the end of the three-year performance period. The vesting of all PSU awards granted is also subject to the respective employee’s continued employment. The Company valued the portion of PSUs subject to the rTSR metric using a Monte Carlo simulation. The number of PSUs granted subject to the rTSR metrics represents the target number of units that are eligible to be earned based on the achievement of the metrics established at the beginning of the performance period, which ends on December 31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0"/>
        </w:rPr>
        <w:t xml:space="preserve">of the three-year performance period. For the portion of PSUs subject to the rTSR metrics, employees may ultimately earn between zero and 200% of the target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number of PSUs granted based on the degree of achievement of the applicable rTSR metric. Accordingly, additional PSUs may be issued or currently outstanding PSUs may be cancelled upon final determination of the degree of the achievement of the applicable rTSR metric. Stock-based compensation expense recognized for the PSU awards was approximately $0.2 million and $0.5 million for the three months ended March 31, 2026 and 2025, respectively.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the Company’s PSU activity was as follows:</w:t>
      </w:r>
    </w:p>
    <w:tbl>
      <w:tblPr>
        <w:tblW w:w="9523" w:type="dxa"/>
        <w:jc w:val="left"/>
        <w:tblInd w:w="0" w:type="dxa"/>
        <w:tblLayout w:type="fixed"/>
        <w:tblCellMar>
          <w:top w:w="28" w:type="dxa"/>
          <w:left w:w="28" w:type="dxa"/>
          <w:bottom w:w="28" w:type="dxa"/>
          <w:right w:w="28" w:type="dxa"/>
        </w:tblCellMar>
      </w:tblPr>
      <w:tblGrid>
        <w:gridCol w:w="1288"/>
        <w:gridCol w:w="1132"/>
        <w:gridCol w:w="1135"/>
        <w:gridCol w:w="1374"/>
        <w:gridCol w:w="1374"/>
        <w:gridCol w:w="1377"/>
        <w:gridCol w:w="109"/>
        <w:gridCol w:w="109"/>
        <w:gridCol w:w="109"/>
        <w:gridCol w:w="326"/>
        <w:gridCol w:w="951"/>
        <w:gridCol w:w="239"/>
      </w:tblGrid>
      <w:tr>
        <w:trPr/>
        <w:tc>
          <w:tcPr>
            <w:tcW w:w="128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Performance-Based Restricted Stock Units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Value at Grant</w:t>
              <w:br/>
              <w:t>Date Per Share</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000000"/>
                <w:sz w:val="20"/>
              </w:rPr>
              <w:t>Unvested PSUs as of December 31, 2025</w:t>
            </w:r>
            <w:r>
              <w:rPr>
                <w:rFonts w:ascii="Times New Roman;serif" w:hAnsi="Times New Roman;serif"/>
                <w:b w:val="false"/>
                <w:color w:val="000000"/>
                <w:sz w:val="13"/>
              </w:rPr>
              <w:t>(1)</w:t>
            </w:r>
          </w:p>
        </w:tc>
        <w:tc>
          <w:tcPr>
            <w:tcW w:w="274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65,518 </w:t>
            </w:r>
          </w:p>
        </w:tc>
        <w:tc>
          <w:tcPr>
            <w:tcW w:w="13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37.51 </w:t>
            </w:r>
          </w:p>
        </w:tc>
        <w:tc>
          <w:tcPr>
            <w:tcW w:w="23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PSUs granted</w:t>
            </w:r>
          </w:p>
        </w:tc>
        <w:tc>
          <w:tcPr>
            <w:tcW w:w="274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PSUs vested</w:t>
            </w:r>
          </w:p>
        </w:tc>
        <w:tc>
          <w:tcPr>
            <w:tcW w:w="2748"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(29,120)</w:t>
            </w:r>
          </w:p>
        </w:tc>
        <w:tc>
          <w:tcPr>
            <w:tcW w:w="1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36.00 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PSUs forfeited or canceled</w:t>
            </w:r>
          </w:p>
        </w:tc>
        <w:tc>
          <w:tcPr>
            <w:tcW w:w="274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Unvested PSUs as of March 31, 2026</w:t>
            </w:r>
          </w:p>
        </w:tc>
        <w:tc>
          <w:tcPr>
            <w:tcW w:w="2748"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36,398 </w:t>
            </w:r>
          </w:p>
        </w:tc>
        <w:tc>
          <w:tcPr>
            <w:tcW w:w="137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38.72 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(1)     PSU grants reflect the target number of shares eligible to be earned at the time of grant.</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Restricted Stock Units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the Company’s RSU activity was as follows:</w:t>
      </w:r>
    </w:p>
    <w:tbl>
      <w:tblPr>
        <w:tblW w:w="7918" w:type="dxa"/>
        <w:jc w:val="left"/>
        <w:tblInd w:w="0" w:type="dxa"/>
        <w:tblLayout w:type="fixed"/>
        <w:tblCellMar>
          <w:top w:w="28" w:type="dxa"/>
          <w:left w:w="28" w:type="dxa"/>
          <w:bottom w:w="28" w:type="dxa"/>
          <w:right w:w="28" w:type="dxa"/>
        </w:tblCellMar>
      </w:tblPr>
      <w:tblGrid>
        <w:gridCol w:w="1239"/>
        <w:gridCol w:w="1089"/>
        <w:gridCol w:w="1092"/>
        <w:gridCol w:w="884"/>
        <w:gridCol w:w="884"/>
        <w:gridCol w:w="887"/>
        <w:gridCol w:w="109"/>
        <w:gridCol w:w="109"/>
        <w:gridCol w:w="109"/>
        <w:gridCol w:w="326"/>
        <w:gridCol w:w="951"/>
        <w:gridCol w:w="239"/>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Restricted Stock Units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Value at Grant</w:t>
              <w:br/>
              <w:t>Date Per Share</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Unvested RSUs as of December 31, 2025</w:t>
            </w:r>
          </w:p>
        </w:tc>
        <w:tc>
          <w:tcPr>
            <w:tcW w:w="176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306,415 </w:t>
            </w:r>
          </w:p>
        </w:tc>
        <w:tc>
          <w:tcPr>
            <w:tcW w:w="88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19.77 </w:t>
            </w:r>
          </w:p>
        </w:tc>
        <w:tc>
          <w:tcPr>
            <w:tcW w:w="23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RSUs granted</w:t>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265,716 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23.90 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RSUs vested</w:t>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(28,130)</w:t>
            </w:r>
          </w:p>
        </w:tc>
        <w:tc>
          <w:tcPr>
            <w:tcW w:w="8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25.64 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RSUs forfeited or canceled</w:t>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(12,459)</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19.31 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Unvested RSUs as of March 31, 2026</w:t>
            </w:r>
          </w:p>
        </w:tc>
        <w:tc>
          <w:tcPr>
            <w:tcW w:w="1768"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531,542 </w:t>
            </w:r>
          </w:p>
        </w:tc>
        <w:tc>
          <w:tcPr>
            <w:tcW w:w="88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21.54 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Stock Options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the Company’s stock option activity was as follows:</w:t>
      </w:r>
    </w:p>
    <w:tbl>
      <w:tblPr>
        <w:tblW w:w="9612" w:type="dxa"/>
        <w:jc w:val="left"/>
        <w:tblInd w:w="0" w:type="dxa"/>
        <w:tblLayout w:type="fixed"/>
        <w:tblCellMar>
          <w:top w:w="28" w:type="dxa"/>
          <w:left w:w="28" w:type="dxa"/>
          <w:bottom w:w="28" w:type="dxa"/>
          <w:right w:w="28" w:type="dxa"/>
        </w:tblCellMar>
      </w:tblPr>
      <w:tblGrid>
        <w:gridCol w:w="1386"/>
        <w:gridCol w:w="1218"/>
        <w:gridCol w:w="1221"/>
        <w:gridCol w:w="398"/>
        <w:gridCol w:w="398"/>
        <w:gridCol w:w="396"/>
        <w:gridCol w:w="109"/>
        <w:gridCol w:w="109"/>
        <w:gridCol w:w="109"/>
        <w:gridCol w:w="253"/>
        <w:gridCol w:w="741"/>
        <w:gridCol w:w="131"/>
        <w:gridCol w:w="109"/>
        <w:gridCol w:w="109"/>
        <w:gridCol w:w="109"/>
        <w:gridCol w:w="439"/>
        <w:gridCol w:w="439"/>
        <w:gridCol w:w="441"/>
        <w:gridCol w:w="109"/>
        <w:gridCol w:w="109"/>
        <w:gridCol w:w="109"/>
        <w:gridCol w:w="227"/>
        <w:gridCol w:w="777"/>
        <w:gridCol w:w="166"/>
      </w:tblGrid>
      <w:tr>
        <w:trPr/>
        <w:tc>
          <w:tcPr>
            <w:tcW w:w="138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Number of</w:t>
            </w:r>
          </w:p>
          <w:p>
            <w:pPr>
              <w:pStyle w:val="TableContents"/>
              <w:bidi w:val="0"/>
              <w:spacing w:lineRule="auto" w:line="312" w:before="0" w:after="0"/>
              <w:jc w:val="center"/>
              <w:rPr/>
            </w:pPr>
            <w:r>
              <w:rPr>
                <w:rFonts w:ascii="Times New Roman;serif" w:hAnsi="Times New Roman;serif"/>
                <w:b/>
                <w:color w:val="000000"/>
                <w:sz w:val="16"/>
              </w:rPr>
              <w:t>Stock Options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w:t>
              <w:br/>
              <w:t>(in thousands)</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Options outstanding as of December 31, 2025</w:t>
            </w:r>
          </w:p>
        </w:tc>
        <w:tc>
          <w:tcPr>
            <w:tcW w:w="119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2,696,444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40.32 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17,090 </w:t>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620,000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(2,348)</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Canceled or forfeited</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(94,722)</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Options outstanding as of March 31, 2026</w:t>
            </w:r>
          </w:p>
        </w:tc>
        <w:tc>
          <w:tcPr>
            <w:tcW w:w="119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3,219,374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37.13 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6,959 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Options exercisable as of March 31, 2026</w:t>
            </w:r>
          </w:p>
        </w:tc>
        <w:tc>
          <w:tcPr>
            <w:tcW w:w="1192"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1,630,342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52.13 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2,972 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stock options and performance-based stock options granted to employees, directors and consultants valued using the Black-Scholes option pricing model was estimated on the date of grant using the following weighted-average assumptions:</w:t>
      </w:r>
    </w:p>
    <w:tbl>
      <w:tblPr>
        <w:tblW w:w="4806" w:type="dxa"/>
        <w:jc w:val="left"/>
        <w:tblInd w:w="0" w:type="dxa"/>
        <w:tblLayout w:type="fixed"/>
        <w:tblCellMar>
          <w:top w:w="28" w:type="dxa"/>
          <w:left w:w="28" w:type="dxa"/>
          <w:bottom w:w="28" w:type="dxa"/>
          <w:right w:w="28" w:type="dxa"/>
        </w:tblCellMar>
      </w:tblPr>
      <w:tblGrid>
        <w:gridCol w:w="772"/>
        <w:gridCol w:w="676"/>
        <w:gridCol w:w="682"/>
        <w:gridCol w:w="255"/>
        <w:gridCol w:w="256"/>
        <w:gridCol w:w="491"/>
        <w:gridCol w:w="197"/>
        <w:gridCol w:w="197"/>
        <w:gridCol w:w="197"/>
        <w:gridCol w:w="255"/>
        <w:gridCol w:w="256"/>
        <w:gridCol w:w="572"/>
      </w:tblGrid>
      <w:tr>
        <w:trPr/>
        <w:tc>
          <w:tcPr>
            <w:tcW w:w="7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49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572"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6.04</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6.08</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72"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weighted-average grant date fair value of options granted for the three months ended March 31, 2026 and 2025 were $18.55 per share and $8.19 per share,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11. Net Loss Per Share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 is calculated by dividing net loss by the weighted-average number of common shares outstanding during the period, without consideration for common stock equivalents. The Company’s potentially dilutive shares, which include unvested RSUs, unvested PSUs and options to purchase common stock, are considered to be common stock equivalents and are only included in the calculation of diluted net loss per share when their effect is dilutive. Shares subject to options to purchase common stock, unvested RSUs and unvested PSUs were all excluded from consideration in the calculation of diluted net loss per share in all periods presented due to their anti-dilutive effects.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License and Collaboration Agreements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The Company has entered into certain license and collaboration agreements, including those identified in Note 3, </w:t>
      </w:r>
      <w:r>
        <w:rPr>
          <w:rFonts w:ascii="Times New Roman;serif" w:hAnsi="Times New Roman;serif"/>
          <w:b w:val="false"/>
          <w:i/>
          <w:color w:val="000000"/>
          <w:sz w:val="20"/>
        </w:rPr>
        <w:t>Asset Acquisitions and Contingent Consideration</w:t>
      </w:r>
      <w:r>
        <w:rPr>
          <w:color w:val="000000"/>
        </w:rPr>
        <w:t xml:space="preserve"> </w:t>
      </w:r>
      <w:r>
        <w:rPr>
          <w:rFonts w:ascii="Times New Roman;serif" w:hAnsi="Times New Roman;serif"/>
          <w:b w:val="false"/>
          <w:color w:val="000000"/>
          <w:sz w:val="20"/>
        </w:rPr>
        <w:t xml:space="preserve">and Note 4, </w:t>
      </w:r>
      <w:r>
        <w:rPr>
          <w:rFonts w:ascii="Times New Roman;serif" w:hAnsi="Times New Roman;serif"/>
          <w:b w:val="false"/>
          <w:i/>
          <w:color w:val="000000"/>
          <w:sz w:val="20"/>
        </w:rPr>
        <w:t xml:space="preserve">License, Collaboration and Success Payment Agreements </w:t>
      </w:r>
      <w:r>
        <w:rPr>
          <w:rFonts w:ascii="Times New Roman;serif" w:hAnsi="Times New Roman;serif"/>
          <w:b w:val="false"/>
          <w:color w:val="000000"/>
          <w:sz w:val="20"/>
        </w:rPr>
        <w:t>above, with third parties that include the funding of certain development, manufacturing and commercialization efforts with the potential for future milestone and royalty payments upon the achievement of pre-established developmental, regulatory and/or commercial milestones. The Company’s obligation to fund these efforts is contingent upon continued involvement in the programs and/or the lack of any adverse events that could cause the discontinuance of the programs, including termination of such agreements. Due to the nature of these agreements, the future potential payments are inherently uncertain, and accordingly no amounts had been recorded for the potential future achievement of these targets as of both March 31,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13. Related-Party Transactions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In September 2021, the Company entered into a sublease with Sonoma (“Sonoma Sublease”), with whom the Company has common stockholders with board seats, whereby the Company agreed to sublease approximately 18,000 square feet of space in South San Francisco, California currently leased by the Company. Dr. Klausner, the Chair of the Company’s board of directors, also serves as Board Chair of the board of directors of Sonoma. As a part of the Sonoma Sublease, a $4.6 million tenant improvement contribution payment was made by Sonoma, which is recognized over the term of the Sonoma Sublease, which expires in September 2026. As of March 31, 2026 and December 31, 2025, there were accrued liabilities and other current liabilities of $1.7 million and $2.5 million, respectively, in connection with the Sonoma Sublease. Total operating income from Sonoma and income solely attributable to the Sonoma Sublease are shown in the table below (in thousands). Total operating income includes income attributable to the sublease, as well as additional operating fees recognized in “other operating income, net” such as common area maintenance charges. See Note 8, </w:t>
      </w:r>
      <w:r>
        <w:rPr>
          <w:rFonts w:ascii="Times New Roman;serif" w:hAnsi="Times New Roman;serif"/>
          <w:b w:val="false"/>
          <w:i/>
          <w:color w:val="000000"/>
          <w:sz w:val="20"/>
        </w:rPr>
        <w:t>Leases</w:t>
      </w:r>
      <w:r>
        <w:rPr>
          <w:rFonts w:ascii="Times New Roman;serif" w:hAnsi="Times New Roman;serif"/>
          <w:b w:val="false"/>
          <w:color w:val="000000"/>
          <w:sz w:val="20"/>
        </w:rPr>
        <w:t>, for more detail on the Sonoma Sublease.</w:t>
      </w:r>
    </w:p>
    <w:tbl>
      <w:tblPr>
        <w:tblW w:w="5937" w:type="dxa"/>
        <w:jc w:val="left"/>
        <w:tblInd w:w="0" w:type="dxa"/>
        <w:tblLayout w:type="fixed"/>
        <w:tblCellMar>
          <w:top w:w="28" w:type="dxa"/>
          <w:left w:w="28" w:type="dxa"/>
          <w:bottom w:w="28" w:type="dxa"/>
          <w:right w:w="28" w:type="dxa"/>
        </w:tblCellMar>
      </w:tblPr>
      <w:tblGrid>
        <w:gridCol w:w="1107"/>
        <w:gridCol w:w="975"/>
        <w:gridCol w:w="978"/>
        <w:gridCol w:w="247"/>
        <w:gridCol w:w="721"/>
        <w:gridCol w:w="127"/>
        <w:gridCol w:w="127"/>
        <w:gridCol w:w="127"/>
        <w:gridCol w:w="127"/>
        <w:gridCol w:w="247"/>
        <w:gridCol w:w="546"/>
        <w:gridCol w:w="127"/>
        <w:gridCol w:w="109"/>
        <w:gridCol w:w="109"/>
        <w:gridCol w:w="109"/>
        <w:gridCol w:w="154"/>
      </w:tblGrid>
      <w:tr>
        <w:trPr/>
        <w:tc>
          <w:tcPr>
            <w:tcW w:w="110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Sonoma other operating income, net</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Sonoma sublease income</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In connection with the SPA, ARCH Venture XIII, L.P. participated as a Purchaser by acquiring approximately 0.5 million shares of common stock for aggregate gross proceeds to the Company of $12.5 million at a purchase price of $25.61 per share during the three months ended March 31, 2026. ARCH Venture Fund XIII, L.P. filed a Form 3 in July 2025 stating it beneficially owned greater than 10% of the Company’s outstanding common stock as of that date. See Note 9, </w:t>
      </w:r>
      <w:r>
        <w:rPr>
          <w:rFonts w:ascii="Times New Roman;serif" w:hAnsi="Times New Roman;serif"/>
          <w:b w:val="false"/>
          <w:i/>
          <w:color w:val="000000"/>
          <w:sz w:val="20"/>
        </w:rPr>
        <w:t>Stockholders’ Equity - Securities Purchase Agreement</w:t>
      </w:r>
      <w:r>
        <w:rPr>
          <w:rFonts w:ascii="Times New Roman;serif" w:hAnsi="Times New Roman;serif"/>
          <w:b w:val="false"/>
          <w:color w:val="000000"/>
          <w:sz w:val="20"/>
        </w:rPr>
        <w:t>, for additional information regarding the SPA.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14. Segment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reports segment information in accordance with the management approach, which reflects the internal reporting utilized by the Chief Operating Decision Maker (“CODM”), the Company’s President and Chief Executive Officer. Based on the information used by the CODM to allocate resources and assess the Company’s performance, the Company has determined it operates in one segment. The CODM reviews financial information presented on a consolidated basis for purposes of making operating decisions and assessing financial performance. Prior period segment information has been recast to reflect the manner in which financial information is currently reviewed by the CODM to allocate resources and assess performance, conforming to the current period presentation.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CODM evaluates the performance of the Company’s sole reportable segment based on net loss that also is reported on the condensed consolidated statements of operations and comprehensive loss as net loss. The table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details the Company’s segment net loss, significant expenses, and other segment items (in thousands). The measure of segment assets is reported on the condensed consolidated balance sheets as total assets. </w:t>
      </w:r>
    </w:p>
    <w:tbl>
      <w:tblPr>
        <w:tblW w:w="4974" w:type="dxa"/>
        <w:jc w:val="left"/>
        <w:tblInd w:w="0" w:type="dxa"/>
        <w:tblLayout w:type="fixed"/>
        <w:tblCellMar>
          <w:top w:w="28" w:type="dxa"/>
          <w:left w:w="28" w:type="dxa"/>
          <w:bottom w:w="28" w:type="dxa"/>
          <w:right w:w="28" w:type="dxa"/>
        </w:tblCellMar>
      </w:tblPr>
      <w:tblGrid>
        <w:gridCol w:w="752"/>
        <w:gridCol w:w="664"/>
        <w:gridCol w:w="668"/>
        <w:gridCol w:w="211"/>
        <w:gridCol w:w="721"/>
        <w:gridCol w:w="109"/>
        <w:gridCol w:w="109"/>
        <w:gridCol w:w="109"/>
        <w:gridCol w:w="109"/>
        <w:gridCol w:w="211"/>
        <w:gridCol w:w="721"/>
        <w:gridCol w:w="109"/>
        <w:gridCol w:w="109"/>
        <w:gridCol w:w="109"/>
        <w:gridCol w:w="109"/>
        <w:gridCol w:w="154"/>
      </w:tblGrid>
      <w:tr>
        <w:trPr/>
        <w:tc>
          <w:tcPr>
            <w:tcW w:w="75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Technical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Support functions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management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stock-based compensation, depreciation, other operating income, net, interest income, net, and other income, net. For the three months ended March 31, 2026, includes a $17.6 million gain associated with the settlement of the SPA put/call.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expenditures for additions to the Company’s property and equipment, net were approximately $0.3 million for both the three months ended March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firstLine="720"/>
        <w:jc w:val="left"/>
        <w:rPr/>
      </w:pPr>
      <w:r>
        <w:rPr>
          <w:rFonts w:ascii="Times New Roman;serif" w:hAnsi="Times New Roman;serif"/>
          <w:b w:val="false"/>
          <w:i/>
          <w:color w:val="000000"/>
          <w:sz w:val="20"/>
        </w:rPr>
        <w:t xml:space="preserve">You should read the following discussion and analysis of our financial condition and results of operations together with our unaudited Condensed Consolidated Financial Statements and the related notes included elsewhere in this Quarterly Report on Form 10-Q, and our audited consolidated financial statements and notes thereto as of and for the year ended December 31, 2025 and the related Management’s Discussion and Analysis of Financial Condition and Results of Operations, both of which are contained in our </w:t>
      </w:r>
      <w:r>
        <w:rPr>
          <w:rFonts w:ascii="Times New Roman;serif" w:hAnsi="Times New Roman;serif"/>
          <w:b w:val="false"/>
          <w:color w:val="000000"/>
          <w:sz w:val="20"/>
        </w:rPr>
        <w:t xml:space="preserve">2025 </w:t>
      </w:r>
      <w:r>
        <w:rPr>
          <w:rFonts w:ascii="Times New Roman;serif" w:hAnsi="Times New Roman;serif"/>
          <w:b w:val="false"/>
          <w:i/>
          <w:color w:val="000000"/>
          <w:sz w:val="20"/>
        </w:rPr>
        <w:t>Annual Report on Form 10-K for the year ended December 31, 2025, filed with the Securities and Exchange Commission (SEC) on March 12, 2026 (the 2025 Annual Report). This discussion and analysis and other parts of this Quarterly Report on Form 10-Q contain forward-looking statements based upon current beliefs, plans and expectations related to future events and our future financial performance that involve risks, uncertainties and assumptions, such as statements regarding our intentions, plans, objectives and expectations for our business. Our actual results and the timing of selected events could differ materially from those described in or implied by these forward-looking statements as a result of several factors, including those set forth in the section titled “Risk Factors” in Part II, Item 1A of this Quarterly Report on Form 10-Q. See also the section titled “Special Note Regarding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late-stage clinical cell therapy company advancing a pipeline of proprietary next-generation autologous CAR T-cell product candidates for patients with cancer. Our goal is to fully realize the curative potential of cell therapy for patients with hematologic malignancies and solid tumors. To achieve this, we are pioneering novel approaches designed to generate T</w:t>
        <w:noBreakHyphen/>
        <w:t>cell therapies that drive long-lasting clinical responses. Our investigational CAR T-cell therapies start with the identification of promising cancer targets. We then engineer the patient’s own living immune cells and arm them with our innovative enhancements, including CAR constructs, technologies or manufacturing protocols that are designed to endow T cells with more potent cancer cell killing capabilities.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hematologic malignancies, we are focused on delivering to patients meaningfully improved outcomes over currently approved, first-generation CD19 CAR T-cell products. Our lead product candidate, rondecabtagene autoleucel, or ronde-cel, is a dual-targeting CD19/CD20 CAR T-cell product candidate designed to increase complete response rates and prolong the duration of response as compared to the approved CD19</w:t>
        <w:noBreakHyphen/>
        <w:t>targeted CAR T-cell therapies. Ronde-cel is designed with a true ‘OR’ logic gate to target B cells that express either CD19 or CD20 with full potency and is manufactured with a process that enriches for CD62L</w:t>
        <w:noBreakHyphen/>
        <w:t>positive cells to generate more naïve and central memory CAR T cells with enhanced stemlike features and antitumor activity.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currently conducting two pivotal trials with ronde-cel. The first, PiNACLE, is a single-arm clinical trial that is a seamless expansion of the 3L+ cohort in the Phase 1/2 trial. This trial is expected to report additional data in the second half of 2026 and pivotal data in mid-2027, with submission of a Biologics License Application expected to follow in 2027. The PiNACLE trial is evaluating ronde</w:t>
        <w:noBreakHyphen/>
        <w:t>cel in patients with relapsed/refractory (R/R) LBCL receiving treatment in the 3L+ setting. We commenced dosing in the first-of-its-kind Phase 3 head-to-head CAR T-cell therapy randomized controlled trial, PiNACLE-H2H, for patients with LBCL receiving treatment in the 2L setting. Patients are randomized to either ronde-cel or investigator’s choice of axicabtagene ciloleucel (axi-cel) or lisocabtagene maraleucel (liso-cel).</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To realize the potential of cell therapy for solid tumors, we acquired an exclusive global license for LYL273 (excluding mainland China, Hong Kong, Macau and Taiwan), a GCC-targeted CAR T-cell product candidate, from Innovative Cellular Therapeutics Holdings Limited and Innovative Cellular Therapeutics (collectively, ICT) in November 2025. A 67% overall response rate and an 83% disease control rate with a manageable safety profile have been reported at the highest dose level tested in patients with refractory mCRC in a U.S. Phase 1 clinical trial as of the data cutoff date of October 28, 2025. LYL273 is enhanced with CD19 CAR expression and controlled cytokine release designed to improve CAR T-cell expansion, immune cell infiltration and cancer cell killing in the hostile tumor microenvironment. Clinical proof-of-concept for this program was initially demonstrated in 15 patients with mCRC in an investigator-sponsored clinical trial conducted in China and published in </w:t>
      </w:r>
      <w:r>
        <w:rPr>
          <w:rFonts w:ascii="Times New Roman;serif" w:hAnsi="Times New Roman;serif"/>
          <w:b w:val="false"/>
          <w:i/>
          <w:color w:val="000000"/>
          <w:sz w:val="20"/>
        </w:rPr>
        <w:t>JAMA Oncology</w:t>
      </w:r>
      <w:r>
        <w:rPr>
          <w:color w:val="000000"/>
        </w:rPr>
        <w:t xml:space="preserve"> </w:t>
      </w:r>
      <w:r>
        <w:rPr>
          <w:rFonts w:ascii="Times New Roman;serif" w:hAnsi="Times New Roman;serif"/>
          <w:b w:val="false"/>
          <w:color w:val="000000"/>
          <w:sz w:val="20"/>
        </w:rPr>
        <w:t xml:space="preserve">(September 2024). </w:t>
      </w:r>
    </w:p>
    <w:p>
      <w:pPr>
        <w:pStyle w:val="TextBody"/>
        <w:bidi w:val="0"/>
        <w:spacing w:lineRule="auto" w:line="288" w:before="120" w:after="283"/>
        <w:ind w:left="0" w:right="0" w:firstLine="720"/>
        <w:jc w:val="left"/>
        <w:rPr/>
      </w:pPr>
      <w:r>
        <w:rPr>
          <w:rFonts w:ascii="Times New Roman;serif" w:hAnsi="Times New Roman;serif"/>
          <w:b w:val="false"/>
          <w:color w:val="000000"/>
          <w:sz w:val="20"/>
        </w:rPr>
        <w:t>We were incorporated in June 2018. We wholly own and operate the LyFE Manufacturing Center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(LyFE) capable of providing clinical trial material for our ongoing clinical trials, as well as for commercial launch. We expect LyFE to have the capacity to manufacture more than 1,200 CAR T-cell doses/year. Our primary activities to date have included clinical development of investigational T</w:t>
        <w:noBreakHyphen/>
        <w:t>cell therapies, conducting research and development, building and operating LyFE, acquiring technology, entering into strategic collaboration and license agreements, enabling and executing manufacturing activities in support of our product candidate development efforts, executing clinical trials, organizing and staffing the company, business planning, establishing and maintaining our intellectual property portfolio, regulatory submissions and other preparations to initiate and execute clinical trials, raising capital and providing general and administrative support for these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pipeline of next-generation CAR T-cell product candidates target cancers with large unmet need and is summarized in Table 1 below:</w:t>
      </w:r>
    </w:p>
    <w:p>
      <w:pPr>
        <w:pStyle w:val="TextBody"/>
        <w:bidi w:val="0"/>
        <w:spacing w:before="120" w:after="283"/>
        <w:jc w:val="center"/>
        <w:rPr/>
      </w:pPr>
      <w:r>
        <w:rPr/>
        <w:drawing>
          <wp:inline distT="0" distB="0" distL="0" distR="0">
            <wp:extent cx="4838700" cy="2695575"/>
            <wp:effectExtent l="0" t="0" r="0" b="0"/>
            <wp:docPr id="2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 descr=""/>
                    <pic:cNvPicPr>
                      <a:picLocks noChangeAspect="1" noChangeArrowheads="1"/>
                    </pic:cNvPicPr>
                  </pic:nvPicPr>
                  <pic:blipFill>
                    <a:blip r:embed="rId2"/>
                    <a:stretch>
                      <a:fillRect/>
                    </a:stretch>
                  </pic:blipFill>
                  <pic:spPr bwMode="auto">
                    <a:xfrm>
                      <a:off x="0" y="0"/>
                      <a:ext cx="4838700" cy="2695575"/>
                    </a:xfrm>
                    <a:prstGeom prst="rect">
                      <a:avLst/>
                    </a:prstGeom>
                  </pic:spPr>
                </pic:pic>
              </a:graphicData>
            </a:graphic>
          </wp:inline>
        </w:drawing>
      </w:r>
      <w:bookmarkStart w:id="0" w:name="i-1"/>
      <w:bookmarkEnd w:id="0"/>
    </w:p>
    <w:p>
      <w:pPr>
        <w:pStyle w:val="TextBody"/>
        <w:bidi w:val="0"/>
        <w:spacing w:lineRule="auto" w:line="288" w:before="120" w:after="283"/>
        <w:jc w:val="left"/>
        <w:rPr/>
      </w:pPr>
      <w:r>
        <w:rPr>
          <w:rFonts w:ascii="Times New Roman;serif" w:hAnsi="Times New Roman;serif"/>
          <w:b/>
          <w:color w:val="000000"/>
          <w:sz w:val="20"/>
        </w:rPr>
        <w:t>Table 1</w:t>
      </w:r>
      <w:r>
        <w:rPr>
          <w:rFonts w:ascii="Times New Roman;serif" w:hAnsi="Times New Roman;serif"/>
          <w:b w:val="false"/>
          <w:color w:val="000000"/>
          <w:sz w:val="20"/>
        </w:rPr>
        <w:t>: Lyell’s Pipeline</w:t>
      </w:r>
    </w:p>
    <w:p>
      <w:pPr>
        <w:pStyle w:val="TextBody"/>
        <w:bidi w:val="0"/>
        <w:spacing w:before="120" w:after="283"/>
        <w:jc w:val="center"/>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Our Pipeline Programs</w:t>
      </w:r>
    </w:p>
    <w:p>
      <w:pPr>
        <w:pStyle w:val="TextBody"/>
        <w:bidi w:val="0"/>
        <w:spacing w:lineRule="auto" w:line="288" w:before="120" w:after="283"/>
        <w:jc w:val="left"/>
        <w:rPr/>
      </w:pPr>
      <w:r>
        <w:rPr>
          <w:rFonts w:ascii="Times New Roman;serif" w:hAnsi="Times New Roman;serif"/>
          <w:b/>
          <w:color w:val="000000"/>
          <w:sz w:val="20"/>
          <w:u w:val="single"/>
        </w:rPr>
        <w:t>Rondecabtagene Autoleucel (ronde-cel):</w:t>
      </w:r>
      <w:r>
        <w:rPr>
          <w:color w:val="000000"/>
        </w:rPr>
        <w:t xml:space="preserve"> </w:t>
      </w:r>
      <w:r>
        <w:rPr>
          <w:rFonts w:ascii="Times New Roman;serif" w:hAnsi="Times New Roman;serif"/>
          <w:b w:val="false"/>
          <w:color w:val="000000"/>
          <w:sz w:val="20"/>
        </w:rPr>
        <w:t>A next-generation dual-targeting CD19/CD20 CAR T-cell product candidate designed to increase complete response rates and prolong the duration of responses as compared to the approved CD19</w:t>
        <w:noBreakHyphen/>
        <w:t>targeted CAR T-cell therapies for the treatment of large B-cell lymphoma.</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lead program, ronde-cel, is targeting patients with aggressive R/R large B-cell non</w:t>
        <w:noBreakHyphen/>
        <w:t>Hodgkin lymphoma (NHL), more commonly referred to as LBCL. Lymphoma is a blood cancer that begins in lymphocytes and spreads primarily in lymph nodes, but can also metastasize to the liver, kidney, brain and other organs. NHL is the more common form of lymphoma, representing approximately 90% of all lymphomas.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initially focused on developing ronde-cel for the treatment of patients with NHL subtypes representing approximately 35% of the over 80,000 patients estimated to be diagnosed with NHL in the United States in 2025 and 545,000 patients worldwide. The NHL subtypes we are currently pursuing include diffuse large B-cell lymphoma (DLBCL), high grade B-cell lymphoma (HGBCL), primary mediastinal large B-cell lymphoma (PMBCL), transformed follicular lymphoma (tFL), transformed marginal zone B-cell lymphoma (tMZBCL), transformed mantle cell lymphoma (tMCL) and Grade 3B follicular lymphoma (FL3B). DLBCL represents approximately 31% of patients diagnosed with NHL each year (of which approximately 5% are HGBCL). PMBCL represents approximately 3% and FL3B and the transformed lymphomas represent approximately 1 to 2% of patients diagnosed with NHL each year. We may choose to further expand development to include additional NHL subtypes in the future.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Of the approximately 30,000 patients in the U.S. with LBCL, 40% to 50% are refractory to, or relapse following, first-line treatment and we estimate approximately 12,000 to 15,000 patients in the United States with LBCL progress to 2L treatment. We estimate the 3L+ patient population to be approximately 6,000 to 7,000 patients, including up to 50% of patients who progress on first-line therapy and receive a second chemotherapy regimen prior to CAR while awaiting referral and/or apheresis scheduling, and the worldwide sales for currently approved CD19 CAR T-cell products are expected to exceed $5 billion by 2030 (Figure 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25"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before="120" w:after="283"/>
        <w:jc w:val="center"/>
        <w:rPr/>
      </w:pPr>
      <w:r>
        <w:rPr/>
        <w:drawing>
          <wp:inline distT="0" distB="0" distL="0" distR="0">
            <wp:extent cx="4838700" cy="2714625"/>
            <wp:effectExtent l="0" t="0" r="0" b="0"/>
            <wp:docPr id="2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 descr=""/>
                    <pic:cNvPicPr>
                      <a:picLocks noChangeAspect="1" noChangeArrowheads="1"/>
                    </pic:cNvPicPr>
                  </pic:nvPicPr>
                  <pic:blipFill>
                    <a:blip r:embed="rId3"/>
                    <a:stretch>
                      <a:fillRect/>
                    </a:stretch>
                  </pic:blipFill>
                  <pic:spPr bwMode="auto">
                    <a:xfrm>
                      <a:off x="0" y="0"/>
                      <a:ext cx="4838700" cy="2714625"/>
                    </a:xfrm>
                    <a:prstGeom prst="rect">
                      <a:avLst/>
                    </a:prstGeom>
                  </pic:spPr>
                </pic:pic>
              </a:graphicData>
            </a:graphic>
          </wp:inline>
        </w:drawing>
      </w:r>
      <w:bookmarkStart w:id="1" w:name="i-2"/>
      <w:bookmarkEnd w:id="1"/>
    </w:p>
    <w:p>
      <w:pPr>
        <w:pStyle w:val="TextBody"/>
        <w:bidi w:val="0"/>
        <w:spacing w:lineRule="auto" w:line="256" w:before="0" w:after="0"/>
        <w:jc w:val="left"/>
        <w:rPr/>
      </w:pPr>
      <w:r>
        <w:rPr>
          <w:rFonts w:ascii="Times New Roman;serif" w:hAnsi="Times New Roman;serif"/>
          <w:b/>
          <w:color w:val="000000"/>
          <w:sz w:val="18"/>
        </w:rPr>
        <w:t>Figure 1</w:t>
      </w:r>
      <w:r>
        <w:rPr>
          <w:rFonts w:ascii="Times New Roman;serif" w:hAnsi="Times New Roman;serif"/>
          <w:b w:val="false"/>
          <w:color w:val="000000"/>
          <w:sz w:val="18"/>
        </w:rPr>
        <w:t>: Ronde-cel is targeting the multi-billion dollar CD19 CAR T-cell market.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While the first generation of CD19 CAR T-cell therapies delivered a major advance in treatment for patients with B-cell lymphoma, there remains a need for therapies that deliver more complete and durable responses. More than 40% of patients with aggressive LBCL treated in the 3L+ setting with a CD19 CAR T-cell therapy are not disease-free after treatment and 30% of patients do not respond at all. Of these patients treated with an approved CD19 CAR T-cell therapy, approximately 50% of patients progress or die within six months, and the overall survival at one year for patients treated with a CD19 CAR T-cell therapy is only 50% to 60%. The median progression-free survival for the approved CD19 CAR T-cell therapies for patients in the 3L+-setting is 6 to 7 months. Importantly, the pivotal trials in the 3L+ setting for axi-cel and liso-cel did not enroll patients over the age of 75, and the axi-cel ZUMA-1 trial did not allow patients to receive bridging therapy between apheresis and CAR T-cell therapy infusion, potentially excluding patients who were progressing too rapidly to wait for CAR T-cell therapy manufacturing.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2L setting, the ZUMA-7 randomized controlled trial of axi-cel versus standard of care chemoimmunotherapy did not enroll patients above the age of 75 and the only bridging therapy allowed was steroids. In ZUMA-7, the complete response rate was 65% and the median progression-free survival in all enrolled patients was 14.7 months. For those with primary refractory disease, the median progression-free survival was only 7 months. The complete response rate for patients with primary refractory disease was not reported. The median event-free survival in all patients was 8.3 months.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Liso-cel was evaluated in two pivotal trials conducted in the 2L setting. The first pivotal trial was a randomized controlled trial of liso-cel versus standard-of-care chemoimmunotherapy (TRANSFORM), which did not enroll patients over the age of 75 but did allow bridging therapy with chemotherapy. The complete response rate was 66% and the median progression-free survival was 14.8 months, and the median event-free survival was 10.1 months in the liso-cel arm. Data for patients with primary refractory disease in the 2L were not reported from this trial. The second pivotal single-arm trial conducted for liso-cel (PILOT), did allow patients over the age of 75 and included patients ineligible for transplant with primary refractory disease, relapse before 12 months or relapse after 12 months to enroll into the trial. The complete response rate in the overall patient population was 54% and was 42% in the primary refractory patient population. The package insert for YESCARTA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lists the rate of Grade 3 or higher CRS as 9% and the rate of Grade 3 or higher neurotoxicity as 31%. The package insert for BREYANZI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lists the rate of Grade 3 or higher CRS as 3% and the rate of Grade 3 or higher neurotoxicity as 10%.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Ronde-cel is an autologous dual-targeting CD19/CD20 CAR T-cell therapy designed to kill B cells expressing CD19 and/or CD20 antigens for the treatment of patients with aggressive B-cell malignancies. We acquired this product candidate through our acquisition of ImmPACT Bio USA Inc. (ImmPACT) in October 2024.</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dual-targeting, or bispecific, tandem CAR recognizes two targets with a single construct. Ronde-cel is rationally designed with a true CD19/CD20 “OR” logic-gated CAR targeting either CD19 or CD20 with full potency, and the cell therapy product is enriched for naïve and central memory T cells. Together, this novel construct and the cell enrichment for naïve and central memory T cells are designed to provide multiple clinical benefits over CD19 CAR T-cell therapies,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27"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Ability to target lower or heterogeneous CD19 antigen density and result in a higher percentage of complete responses than with a single-targeting CAR construct;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Increase in the duration of responses by preventing relapse due to CD19 antigen escape;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Better cell expansion, persistence and reduced exhaustion to provide longer duration of responses.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Ronde-cel consists of autologous T cells that are genetically modified through transduction with a lentiviral vector expressing a tandem CAR construct composed of anti-CD19 and anti-CD20 single-chain variable fragments (scFvs) in tandem and an intracellular portion that contains the T-cell signaling zeta chain (CD3-ζ) and the 4-1BB co-stimulatory domain (Figure 2). This differentiates ronde-cel from cell therapies and other therapeutic modalities that singularly target CD19, CD20 or CD22.</w:t>
      </w:r>
    </w:p>
    <w:p>
      <w:pPr>
        <w:pStyle w:val="TextBody"/>
        <w:bidi w:val="0"/>
        <w:spacing w:before="120" w:after="283"/>
        <w:jc w:val="center"/>
        <w:rPr/>
      </w:pPr>
      <w:r>
        <w:rPr/>
        <w:drawing>
          <wp:inline distT="0" distB="0" distL="0" distR="0">
            <wp:extent cx="2190750" cy="1876425"/>
            <wp:effectExtent l="0" t="0" r="0" b="0"/>
            <wp:docPr id="2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3" descr=""/>
                    <pic:cNvPicPr>
                      <a:picLocks noChangeAspect="1" noChangeArrowheads="1"/>
                    </pic:cNvPicPr>
                  </pic:nvPicPr>
                  <pic:blipFill>
                    <a:blip r:embed="rId4"/>
                    <a:stretch>
                      <a:fillRect/>
                    </a:stretch>
                  </pic:blipFill>
                  <pic:spPr bwMode="auto">
                    <a:xfrm>
                      <a:off x="0" y="0"/>
                      <a:ext cx="2190750" cy="1876425"/>
                    </a:xfrm>
                    <a:prstGeom prst="rect">
                      <a:avLst/>
                    </a:prstGeom>
                  </pic:spPr>
                </pic:pic>
              </a:graphicData>
            </a:graphic>
          </wp:inline>
        </w:drawing>
      </w:r>
      <w:bookmarkStart w:id="2" w:name="i-3"/>
      <w:bookmarkEnd w:id="2"/>
    </w:p>
    <w:p>
      <w:pPr>
        <w:pStyle w:val="TextBody"/>
        <w:bidi w:val="0"/>
        <w:spacing w:lineRule="auto" w:line="240" w:before="120" w:after="283"/>
        <w:jc w:val="left"/>
        <w:rPr/>
      </w:pPr>
      <w:r>
        <w:rPr>
          <w:rFonts w:ascii="Times New Roman;serif" w:hAnsi="Times New Roman;serif"/>
          <w:b/>
          <w:color w:val="000000"/>
          <w:sz w:val="18"/>
        </w:rPr>
        <w:t>Figure 2</w:t>
      </w:r>
      <w:r>
        <w:rPr>
          <w:rFonts w:ascii="Times New Roman;serif" w:hAnsi="Times New Roman;serif"/>
          <w:b w:val="false"/>
          <w:color w:val="000000"/>
          <w:sz w:val="18"/>
        </w:rPr>
        <w:t>: Ronde-cel contains separate, tandem scFv antibody domains designed to target both CD19 and CD20 and is manufactured using a CAR construct that contains a 4-1BB costimulatory domain and is manufactured with a process to enrich for CD62-positive naïve and central memory T cells.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Antigen heterogeneity, which refers to variation in the expression levels of tumor antigens across cancer cells, can limit the effectiveness of targeted therapies, including CD19 CAR T-cell therapy. Nonclinical data demonstrated that ronde-cel’s optimized tandem CAR design is capable of killing target cells that express CD19 only, CD20 only or both antigens with full potency, thus it has the potential to achieve a higher percentage of complete responses than a single</w:t>
        <w:noBreakHyphen/>
        <w:t xml:space="preserve">targeting agent, particularly in those patients with malignant B cells with a lower or heterogeneous CD19 antigen density.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CD19 antigen escape, a mechanism by which tumor cells evade the host immune system or targeted therapy through loss, downregulation or modification of target antigens, is a known mechanism contributing to disease relapse. Ronde-cel’s dual-targeting of both CD19 and CD20 was designed to overcome CD19 antigen escape and potentially prolong the duration of responses, as well as to target malignant B cells with limited or no expression of CD19 to achieve a higher overall response rate. In a nonclinical xenograft model of mixed tumor cells (75% CD19-positive/CD20-positive, 25% CD19-negative/CD20-positive), mice treated with CAR T cells that targeted CD19 and CD20 in this manner eliminated tumors and overcame a subsequent tumor re-challenge, whereas CD19 CAR T-cell treatment failed to control the tumors.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ronde-cel is manufactured to produce a CAR T-cell product with higher proportions of naïve and central memory T cells through a process that enriches for CD62L-expressing cells. CD62L is a surface protein that acts as a homing beacon, guiding white blood cells to sites of inflammation. CD62L enrichment in ronde-cel’s manufacturing process substitutes for the CD4/CD8 enrichment step in traditional CAR T-cell manufacturing, and generates cell products that are comprised of more than 95% naïve or central memory T cells. This manufacturing process is designed to generate CAR T cells with enhanced antitumor activity, which we believe could result in both increased complete response rates and more durable responses. Naïve T cells are mature T lymphocytes that have differentiated in the bone marrow and undergone central tolerance selection in the thymus, but have not interacted with their antigen. CAR T cells generated from these CD62L-positive less differentiated T cells have been associated with better cell expansion, improved persistence, reduced exhaustion and lower adverse cytokine production compared to CAR T cells generated from traditional processes. The enrichment of CD62L-expressing T cells does not increase the manufacturing time, which is similar to that of the approved CD19 CAR T-cell therapies with a median vein to site time of 16 days. Data from the ZUMA-7 pivotal trial of axi-cel in patients with R/R LBCL demonstrated an improved overall survival in those patients with a higher median percentage of T cells with a naïve/stem memory phenotype in the administered cell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29"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Ronde-cel Clinical Development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ongoing Phase 1/2 trial of ronde-cel is a multi-cohort, multi-center, open-label dose-escalation and dose</w:t>
        <w:noBreakHyphen/>
        <w:t>expansion clinical trial designed to evaluate the safety and clinical benefit of ronde-cel (NCT05826535). We presented positive data, detailed below, from the 3L+ and 2L cohorts from the ongoing Phase 1/2 trial during an oral presentation at the American Society of Hematology Annual Meeting and Exhibition in December 2025 (ASH 2025). Based on these data, as well as our recent End-of-Phase 1 meetings with the U.S. Food and Drug Administration (FDA), we announced the initiation of two pivotal trials of ronde-cel: PiNACLE and PiNACLE-H2H.</w:t>
      </w:r>
    </w:p>
    <w:p>
      <w:pPr>
        <w:pStyle w:val="TextBody"/>
        <w:bidi w:val="0"/>
        <w:spacing w:lineRule="auto" w:line="288" w:before="120" w:after="283"/>
        <w:ind w:left="0" w:right="0" w:firstLine="720"/>
        <w:jc w:val="left"/>
        <w:rPr/>
      </w:pPr>
      <w:r>
        <w:rPr>
          <w:rFonts w:ascii="Times New Roman;serif" w:hAnsi="Times New Roman;serif"/>
          <w:b w:val="false"/>
          <w:color w:val="000000"/>
          <w:sz w:val="20"/>
        </w:rPr>
        <w:t>The PiNACLE trial, which is underway and enrolling patients, is a seamless expansion of the 3L+ cohort of our Phase 1/2 trial. PiNACLE is a single-arm trial evaluating ronde-cel at a dose of 100 x 10</w:t>
      </w: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CAR T cells in patients with LBCL treated in the 3L+ setting. The trial is expected to enroll approximately 120 patients with R/R DLBCL, PMBCL, FL3B or tFL who have received two or more prior lines of therapy and have not received CAR T-cell therapy. Patients may be treated with ronde-cel in the inpatient or outpatient setting, with observation near the site limited to 14 days. There is no upper age limit for eligibility, which broadens the addressable patient population. The primary endpoint of the trial is the best overall response rate, including an evaluation of duration of response. More information about the PiNACLE trial can be found on clinicaltrials.gov (NCT05826535). Additional data from the PiNACLE trial are expected to be reported in the second half of 2026. Pivotal data from the PiNACLE trial are expected in mid-2027, with a Biologics License Application submission expected to follow in 2027.</w:t>
      </w:r>
    </w:p>
    <w:p>
      <w:pPr>
        <w:pStyle w:val="TextBody"/>
        <w:bidi w:val="0"/>
        <w:spacing w:lineRule="auto" w:line="288" w:before="120" w:after="283"/>
        <w:ind w:left="0" w:right="0" w:firstLine="720"/>
        <w:jc w:val="left"/>
        <w:rPr/>
      </w:pPr>
      <w:r>
        <w:rPr>
          <w:rFonts w:ascii="Times New Roman;serif" w:hAnsi="Times New Roman;serif"/>
          <w:b w:val="false"/>
          <w:color w:val="000000"/>
          <w:sz w:val="20"/>
        </w:rPr>
        <w:t>The PiNACLE-H2H trial is a first-of-its-kind Phase 3 head-to-head CAR T-cell therapy randomized controlled trial evaluating ronde-cel versus investigator’s choice of approved CD19 CAR T-cell therapies (axi-cel or liso-cel) in patients with R/R LBCL receiving treatment in the 2L setting. Patients randomized to ronde-cel will be treated with a dose of 100 x 10</w:t>
      </w: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CAR T cells. The primary endpoint of the trial is event-free survival. The trial is expected to enroll approximately 400 patients with R/R LBCL (200 per arm), including DLBCL, PMBCL, HGBCL, FL3B, tFL, tMCL or tMZBCL who have not previously received CAR T-cell therapy. Patients may be treated with ronde-cel in either the inpatient or outpatient setting. Patient dosing commenced in February 2026, and clinical site activation is ongoing in the United States, Canada and Australia. More information about the PiNACLE-H2H trial can be found on clinicaltrials.gov (NCT07188558). A progress update from the PiNACLE-H2H trial is expected in the second half of 2026. Now that the PiNACLE-H2H trial is enrolling patients, the 2L cohort in our Phase 1/2 multi-cohort trial is no longer recruiting patients.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future, we may expand into other types of B-cell NHL.</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Ronde-cel: Clinical Data</w:t>
      </w:r>
    </w:p>
    <w:p>
      <w:pPr>
        <w:pStyle w:val="TextBody"/>
        <w:bidi w:val="0"/>
        <w:spacing w:lineRule="auto" w:line="288" w:before="120" w:after="283"/>
        <w:ind w:left="0" w:right="0" w:firstLine="720"/>
        <w:jc w:val="left"/>
        <w:rPr/>
      </w:pPr>
      <w:r>
        <w:rPr>
          <w:rFonts w:ascii="Times New Roman;serif" w:hAnsi="Times New Roman;serif"/>
          <w:b w:val="false"/>
          <w:color w:val="000000"/>
          <w:sz w:val="20"/>
        </w:rPr>
        <w:t>We presented new clinical and translational data from our ongoing Phase 1/2 clinical trial of ronde-cel in patients with LBCL at ASH 2025. The trial is a multi-cohort, multi-center, dose-escalation, dose-expansion trial. Patients had not previously received CAR T-cell therapy and there was no upper age limit nor requirement for CD19/CD20 screening prior to enrollment. Data were presented from the 3L+ and 2L cohorts. Bridging therapy was optional and lymphodepletion included fludarabine, 30 mg/m</w:t>
      </w:r>
      <w:r>
        <w:rPr>
          <w:rFonts w:ascii="Times New Roman;serif" w:hAnsi="Times New Roman;serif"/>
          <w:b w:val="false"/>
          <w:color w:val="000000"/>
          <w:sz w:val="13"/>
        </w:rPr>
        <w:t>2</w:t>
      </w:r>
      <w:r>
        <w:rPr>
          <w:rFonts w:ascii="Times New Roman;serif" w:hAnsi="Times New Roman;serif"/>
          <w:b w:val="false"/>
          <w:color w:val="000000"/>
          <w:sz w:val="20"/>
        </w:rPr>
        <w:t>, and cyclophosphamide, 500 mg/m</w:t>
      </w:r>
      <w:r>
        <w:rPr>
          <w:rFonts w:ascii="Times New Roman;serif" w:hAnsi="Times New Roman;serif"/>
          <w:b w:val="false"/>
          <w:color w:val="000000"/>
          <w:sz w:val="13"/>
        </w:rPr>
        <w:t>2</w:t>
      </w:r>
      <w:r>
        <w:rPr>
          <w:rFonts w:ascii="Times New Roman;serif" w:hAnsi="Times New Roman;serif"/>
          <w:b w:val="false"/>
          <w:color w:val="000000"/>
          <w:sz w:val="20"/>
        </w:rPr>
        <w:t>, each for three days. The cell manufacturing median vein to site time was 16 days and the recommended Phase 2 dose was established at 100 x 10</w:t>
      </w: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CAR T cells. Two patients were treated at Dose Level 2 (300 x 10</w:t>
      </w:r>
      <w:r>
        <w:rPr>
          <w:rFonts w:ascii="Times New Roman;serif" w:hAnsi="Times New Roman;serif"/>
          <w:b w:val="false"/>
          <w:color w:val="000000"/>
          <w:sz w:val="13"/>
        </w:rPr>
        <w:t xml:space="preserve">6 </w:t>
      </w:r>
      <w:r>
        <w:rPr>
          <w:rFonts w:ascii="Times New Roman;serif" w:hAnsi="Times New Roman;serif"/>
          <w:b w:val="false"/>
          <w:color w:val="000000"/>
          <w:sz w:val="20"/>
        </w:rPr>
        <w:t xml:space="preserve">CAR T cells). Imaging response assessments were conducted locally at Day 28, Month 3 and every three months for 24 months. The trial objectives were safety and tolerability, best overall response rate and complete response rate, duration of response, selection of the recommended Phase 2 dose and cell expansion pharmacokinetics.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Sixty-nine patients with R/R LBCL received ronde-cel as of September 5, 2025 (the data cutoff date for the presentation at ASH 2025). Patient demographics and baseline disease characteristics were consistent with a high-risk, heavily pre-treated patient population, particularly as compared to historical trials of CD19 CAR T-cell products: median ages of 64 and 65 years with 16% (6/37) and 21% (5/24) of patients being 75 years or older in the 3L+ and 2L settings, respectively; and primary refractory disease in 43% (16/37) and 92% (22/24) of patients in the 3L+ and 2L settings, respectively. The efficacy evaluable population, defined as those patients with Day 84 assessments or prior disease progression or death, consisted of 47 patients (29 in the 3L+ setting and 18 in the 2L setting).</w:t>
      </w:r>
    </w:p>
    <w:p>
      <w:pPr>
        <w:pStyle w:val="TextBody"/>
        <w:bidi w:val="0"/>
        <w:spacing w:lineRule="auto" w:line="288" w:before="120" w:after="283"/>
        <w:ind w:left="0" w:right="0" w:firstLine="720"/>
        <w:jc w:val="left"/>
        <w:rPr>
          <w:rFonts w:ascii="Times New Roman;serif" w:hAnsi="Times New Roman;serif"/>
          <w:b/>
          <w:color w:val="000000"/>
          <w:sz w:val="20"/>
        </w:rPr>
      </w:pPr>
      <w:r>
        <w:rPr>
          <w:rFonts w:ascii="Times New Roman;serif" w:hAnsi="Times New Roman;serif"/>
          <w:b/>
          <w:color w:val="000000"/>
          <w:sz w:val="20"/>
        </w:rPr>
        <w:t>Patients Treated with Ronde-Cel in the 3L+ Setting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29 efficacy-evaluable 3L+ patients with R/R LBCL (DLBCL, PMBCL, 3BFL or tFL) with a median follow</w:t>
        <w:noBreakHyphen/>
        <w:t>up time of 12 months as of the data cutoff date. The data are presented in Figure 3 and summarized here: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best overall response rate was 93% (27/29 patients), with 76% (22/29) of patients achieving a complete response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72% (13/18) of patients with complete response remained in complete response at 6 months or longer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0"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Median progression-free survival was 18 months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PiNACLE single-arm pivotal trial is a seamless expansion of this 3L+ cohort and is ongoing. Patients with HGBCL are no longer included in the PiNACLE single-arm trial to focus the trial on those patients most likely to achieve high durable response rates. The response rate and duration of response in patients enrolled with HGBCL (N = 8) was shorter than that observed for patients with other histologies.</w:t>
      </w:r>
    </w:p>
    <w:p>
      <w:pPr>
        <w:pStyle w:val="TextBody"/>
        <w:bidi w:val="0"/>
        <w:spacing w:before="0" w:after="0"/>
        <w:jc w:val="left"/>
        <w:rPr/>
      </w:pPr>
      <w:r>
        <w:rPr/>
      </w:r>
    </w:p>
    <w:p>
      <w:pPr>
        <w:pStyle w:val="TextBody"/>
        <w:bidi w:val="0"/>
        <w:spacing w:before="0" w:after="0"/>
        <w:jc w:val="center"/>
        <w:rPr/>
      </w:pPr>
      <w:r>
        <w:rPr/>
        <w:drawing>
          <wp:inline distT="0" distB="0" distL="0" distR="0">
            <wp:extent cx="5753100" cy="2143125"/>
            <wp:effectExtent l="0" t="0" r="0" b="0"/>
            <wp:docPr id="3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4" descr=""/>
                    <pic:cNvPicPr>
                      <a:picLocks noChangeAspect="1" noChangeArrowheads="1"/>
                    </pic:cNvPicPr>
                  </pic:nvPicPr>
                  <pic:blipFill>
                    <a:blip r:embed="rId5"/>
                    <a:stretch>
                      <a:fillRect/>
                    </a:stretch>
                  </pic:blipFill>
                  <pic:spPr bwMode="auto">
                    <a:xfrm>
                      <a:off x="0" y="0"/>
                      <a:ext cx="5753100" cy="2143125"/>
                    </a:xfrm>
                    <a:prstGeom prst="rect">
                      <a:avLst/>
                    </a:prstGeom>
                  </pic:spPr>
                </pic:pic>
              </a:graphicData>
            </a:graphic>
          </wp:inline>
        </w:drawing>
      </w:r>
      <w:bookmarkStart w:id="3" w:name="i-4"/>
      <w:bookmarkEnd w:id="3"/>
    </w:p>
    <w:p>
      <w:pPr>
        <w:pStyle w:val="TextBody"/>
        <w:bidi w:val="0"/>
        <w:spacing w:lineRule="auto" w:line="240" w:before="0" w:after="0"/>
        <w:jc w:val="left"/>
        <w:rPr/>
      </w:pPr>
      <w:r>
        <w:rPr>
          <w:rFonts w:ascii="Times New Roman;serif" w:hAnsi="Times New Roman;serif"/>
          <w:b/>
          <w:color w:val="000000"/>
          <w:sz w:val="18"/>
        </w:rPr>
        <w:t>Figure 3:</w:t>
      </w:r>
      <w:r>
        <w:rPr>
          <w:color w:val="000000"/>
        </w:rPr>
        <w:t xml:space="preserve"> </w:t>
      </w:r>
      <w:r>
        <w:rPr>
          <w:rFonts w:ascii="Times New Roman;serif" w:hAnsi="Times New Roman;serif"/>
          <w:b w:val="false"/>
          <w:color w:val="000000"/>
          <w:sz w:val="18"/>
        </w:rPr>
        <w:t xml:space="preserve">High rates of durable complete responses were observed in patients treated with ronde-cel in the 3L+ setting. </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3L+, third- or later-line setting, LBCL, large B-cell lymphoma.</w:t>
      </w:r>
    </w:p>
    <w:p>
      <w:pPr>
        <w:pStyle w:val="TextBody"/>
        <w:bidi w:val="0"/>
        <w:spacing w:before="0" w:after="0"/>
        <w:jc w:val="left"/>
        <w:rPr/>
      </w:pPr>
      <w:r>
        <w:rPr/>
      </w:r>
    </w:p>
    <w:p>
      <w:pPr>
        <w:pStyle w:val="TextBody"/>
        <w:bidi w:val="0"/>
        <w:spacing w:lineRule="auto" w:line="288" w:before="120" w:after="283"/>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Patients Treated with Ronde-Cel in the 2L Setting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18 efficacy-evaluable patients enrolled in the 2L setting with a median follow-up time of 9 months as of the data cutoff date. Of these efficacy-evaluable patients, 94% had primary refractory disease. Data from these patients are presented in Figure 4 and summarized here: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overall response rate was 83% (15/18 patients), with 61% (11/18) achieving a complete response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70% (7/10) of patients with complete response remained in complete response at ≥ 6 months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median duration of complete response was not reached</w:t>
      </w:r>
    </w:p>
    <w:p>
      <w:pPr>
        <w:pStyle w:val="TextBody"/>
        <w:bidi w:val="0"/>
        <w:spacing w:before="0" w:after="0"/>
        <w:jc w:val="center"/>
        <w:rPr/>
      </w:pPr>
      <w:r>
        <w:rPr/>
      </w:r>
    </w:p>
    <w:p>
      <w:pPr>
        <w:pStyle w:val="TextBody"/>
        <w:bidi w:val="0"/>
        <w:spacing w:before="0" w:after="0"/>
        <w:jc w:val="center"/>
        <w:rPr/>
      </w:pPr>
      <w:r>
        <w:rPr/>
        <w:drawing>
          <wp:inline distT="0" distB="0" distL="0" distR="0">
            <wp:extent cx="5572125" cy="2066925"/>
            <wp:effectExtent l="0" t="0" r="0" b="0"/>
            <wp:docPr id="3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5" descr=""/>
                    <pic:cNvPicPr>
                      <a:picLocks noChangeAspect="1" noChangeArrowheads="1"/>
                    </pic:cNvPicPr>
                  </pic:nvPicPr>
                  <pic:blipFill>
                    <a:blip r:embed="rId6"/>
                    <a:stretch>
                      <a:fillRect/>
                    </a:stretch>
                  </pic:blipFill>
                  <pic:spPr bwMode="auto">
                    <a:xfrm>
                      <a:off x="0" y="0"/>
                      <a:ext cx="5572125" cy="2066925"/>
                    </a:xfrm>
                    <a:prstGeom prst="rect">
                      <a:avLst/>
                    </a:prstGeom>
                  </pic:spPr>
                </pic:pic>
              </a:graphicData>
            </a:graphic>
          </wp:inline>
        </w:drawing>
      </w:r>
      <w:bookmarkStart w:id="4" w:name="i-5"/>
      <w:bookmarkEnd w:id="4"/>
    </w:p>
    <w:p>
      <w:pPr>
        <w:pStyle w:val="TextBody"/>
        <w:bidi w:val="0"/>
        <w:spacing w:lineRule="auto" w:line="240" w:before="0" w:after="0"/>
        <w:jc w:val="left"/>
        <w:rPr/>
      </w:pPr>
      <w:r>
        <w:rPr>
          <w:rFonts w:ascii="Times New Roman;serif" w:hAnsi="Times New Roman;serif"/>
          <w:b/>
          <w:color w:val="000000"/>
          <w:sz w:val="18"/>
        </w:rPr>
        <w:t>Figure 4:</w:t>
      </w:r>
      <w:r>
        <w:rPr>
          <w:color w:val="000000"/>
        </w:rPr>
        <w:t xml:space="preserve"> </w:t>
      </w:r>
      <w:r>
        <w:rPr>
          <w:rFonts w:ascii="Times New Roman;serif" w:hAnsi="Times New Roman;serif"/>
          <w:b w:val="false"/>
          <w:color w:val="000000"/>
          <w:sz w:val="18"/>
        </w:rPr>
        <w:t xml:space="preserve">High rates of durable complete responses were observed in patients treated with ronde-cel in the 2L setting. </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2L, second-line setting, LBCL, large B-cell lymphoma.</w:t>
      </w:r>
    </w:p>
    <w:p>
      <w:pPr>
        <w:pStyle w:val="TextBody"/>
        <w:bidi w:val="0"/>
        <w:spacing w:lineRule="auto" w:line="288" w:before="120" w:after="283"/>
        <w:ind w:left="0" w:right="0" w:firstLine="720"/>
        <w:jc w:val="left"/>
        <w:rPr>
          <w:rFonts w:ascii="Times New Roman;serif" w:hAnsi="Times New Roman;serif"/>
          <w:b/>
          <w:color w:val="000000"/>
          <w:sz w:val="20"/>
        </w:rPr>
      </w:pPr>
      <w:r>
        <w:rPr>
          <w:rFonts w:ascii="Times New Roman;serif" w:hAnsi="Times New Roman;serif"/>
          <w:b/>
          <w:color w:val="000000"/>
          <w:sz w:val="20"/>
        </w:rPr>
        <w:t>Safety Data</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69 patients, including all patients from both the 3L+ and the 2L cohorts, a manageable safety profile appropriate for outpatient administration was observed. No Grade 3 or higher CRS was observed. Twenty-five of the 69 patients received protocol-directed dexamethasone prophylaxis (10 mg/day for 3 days). One case (4%) of Grade 3 or higher ICANS was reported in a patient with high disease burden; no case of Grade 2 ICANS was reported.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all 69 patients, as of the data cutoff date, low rates of Grade 1 (32%) or Grade 2 (29%) CRS were reported; ICANS rates were reported as follows: Grade 1 (9%), Grade 2 (3%) and Grade 3 or higher (12%) of patients. The median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3"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time to complete resolution of all reports of ICANS was 4 days. Cell pharmacodynamic data demonstrated robust CAR T</w:t>
        <w:noBreakHyphen/>
        <w:t>cell expansion and persistence that were similar in patients with or without dexamethasone prophylaxis. No deaths were determined to be related to ronde-cel administration. Data are presented in Figure 5.</w:t>
      </w:r>
    </w:p>
    <w:p>
      <w:pPr>
        <w:pStyle w:val="TextBody"/>
        <w:bidi w:val="0"/>
        <w:spacing w:before="120" w:after="283"/>
        <w:jc w:val="center"/>
        <w:rPr/>
      </w:pPr>
      <w:r>
        <w:rPr/>
        <w:drawing>
          <wp:inline distT="0" distB="0" distL="0" distR="0">
            <wp:extent cx="5753100" cy="2486025"/>
            <wp:effectExtent l="0" t="0" r="0" b="0"/>
            <wp:docPr id="3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6" descr=""/>
                    <pic:cNvPicPr>
                      <a:picLocks noChangeAspect="1" noChangeArrowheads="1"/>
                    </pic:cNvPicPr>
                  </pic:nvPicPr>
                  <pic:blipFill>
                    <a:blip r:embed="rId7"/>
                    <a:stretch>
                      <a:fillRect/>
                    </a:stretch>
                  </pic:blipFill>
                  <pic:spPr bwMode="auto">
                    <a:xfrm>
                      <a:off x="0" y="0"/>
                      <a:ext cx="5753100" cy="2486025"/>
                    </a:xfrm>
                    <a:prstGeom prst="rect">
                      <a:avLst/>
                    </a:prstGeom>
                  </pic:spPr>
                </pic:pic>
              </a:graphicData>
            </a:graphic>
          </wp:inline>
        </w:drawing>
      </w:r>
      <w:bookmarkStart w:id="5" w:name="i-6"/>
      <w:bookmarkEnd w:id="5"/>
    </w:p>
    <w:p>
      <w:pPr>
        <w:pStyle w:val="TextBody"/>
        <w:bidi w:val="0"/>
        <w:spacing w:lineRule="auto" w:line="240" w:before="0" w:after="0"/>
        <w:jc w:val="left"/>
        <w:rPr/>
      </w:pPr>
      <w:r>
        <w:rPr>
          <w:rFonts w:ascii="Times New Roman;serif" w:hAnsi="Times New Roman;serif"/>
          <w:b/>
          <w:color w:val="000000"/>
          <w:sz w:val="18"/>
        </w:rPr>
        <w:t>Figure 5</w:t>
      </w:r>
      <w:r>
        <w:rPr>
          <w:rFonts w:ascii="Times New Roman;serif" w:hAnsi="Times New Roman;serif"/>
          <w:b w:val="false"/>
          <w:color w:val="000000"/>
          <w:sz w:val="18"/>
        </w:rPr>
        <w:t>:</w:t>
      </w:r>
      <w:r>
        <w:rPr>
          <w:color w:val="000000"/>
        </w:rPr>
        <w:t xml:space="preserve"> </w:t>
      </w:r>
      <w:r>
        <w:rPr>
          <w:rFonts w:ascii="Times New Roman;serif" w:hAnsi="Times New Roman;serif"/>
          <w:b w:val="false"/>
          <w:color w:val="000000"/>
          <w:sz w:val="18"/>
        </w:rPr>
        <w:t xml:space="preserve">Adverse events of interest with and without dexamethasone prophylaxis for patients in both the 3L+ and 2L settings. </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CRS, cytokine release syndrome; HGBCL, high grade B-cell lymphoma; ICANS, immune effector cell-associated neurotoxicity; IEC-HS, immune effector cell-associated hemophagocytic lymphohistiocytosis-like syndrome; IV, intravenous; LDH, lactate dehydrogenase; PO, per os (oral). </w:t>
      </w:r>
    </w:p>
    <w:p>
      <w:pPr>
        <w:pStyle w:val="TextBody"/>
        <w:bidi w:val="0"/>
        <w:spacing w:lineRule="auto" w:line="288" w:before="120" w:after="283"/>
        <w:ind w:left="0" w:right="0" w:firstLine="720"/>
        <w:jc w:val="left"/>
        <w:rPr/>
      </w:pPr>
      <w:r>
        <w:rPr>
          <w:rFonts w:ascii="Times New Roman;serif" w:hAnsi="Times New Roman;serif"/>
          <w:b w:val="false"/>
          <w:color w:val="000000"/>
          <w:sz w:val="20"/>
        </w:rPr>
        <w:t>Ronde-cel demonstrated robust cell expansion with or without dexamethasone prophylaxis (dexamethasone 10 mg by oral or intravenous administration once daily for 3 days) with no significant differences observed in peak CAR T-cell expansion (C</w:t>
      </w:r>
      <w:r>
        <w:rPr>
          <w:rFonts w:ascii="Times New Roman;serif" w:hAnsi="Times New Roman;serif"/>
          <w:b w:val="false"/>
          <w:color w:val="000000"/>
          <w:sz w:val="13"/>
        </w:rPr>
        <w:t>max</w:t>
      </w:r>
      <w:r>
        <w:rPr>
          <w:rFonts w:ascii="Times New Roman;serif" w:hAnsi="Times New Roman;serif"/>
          <w:b w:val="false"/>
          <w:color w:val="000000"/>
          <w:sz w:val="20"/>
        </w:rPr>
        <w:t xml:space="preserve">) or overall exposure (AUC) between patients who received dexamethasone (N = 25) and those who did not (N = 42).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Ronde-cel has received Regenerative Medicine Advanced Therapy (RMAT) designation as well as Fast Track designation from the FDA for the treatment of adults with R/R DLBCL in the 3L+ setting and has also received RMAT designation for the treatment of LBCL in the 2L setting. The FDA has also granted ronde-cel Orphan Drug Designation for the treatment of DLBCL/HGBCL with MYC and BCL2 rearrangements.</w:t>
      </w:r>
    </w:p>
    <w:p>
      <w:pPr>
        <w:pStyle w:val="TextBody"/>
        <w:bidi w:val="0"/>
        <w:spacing w:lineRule="auto" w:line="288" w:before="120" w:after="283"/>
        <w:jc w:val="left"/>
        <w:rPr/>
      </w:pPr>
      <w:r>
        <w:rPr>
          <w:rFonts w:ascii="Times New Roman;serif" w:hAnsi="Times New Roman;serif"/>
          <w:b/>
          <w:color w:val="000000"/>
          <w:sz w:val="20"/>
        </w:rPr>
        <w:t xml:space="preserve">LYL273: </w:t>
      </w:r>
      <w:r>
        <w:rPr>
          <w:rFonts w:ascii="Times New Roman;serif" w:hAnsi="Times New Roman;serif"/>
          <w:b w:val="false"/>
          <w:color w:val="000000"/>
          <w:sz w:val="20"/>
        </w:rPr>
        <w:t>Guanylyl Cyclase C-Targeted CAR T-cell product candidate for the treatment of mCRC and other GCC</w:t>
        <w:noBreakHyphen/>
        <w:t>expressing cancers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2025, we acquired an exclusive global license, outside of mainland China, Hong Kong, Macau and Taiwan, from ICT for a next-generation GCC-targeted CAR T-cell product candidate (LYL273) with promising dose</w:t>
        <w:noBreakHyphen/>
        <w:t>dependent clinical activity in patients with refractory mCRC in a Phase 1 trial conducted in the U.S. LYL273 is a GCC</w:t>
        <w:noBreakHyphen/>
        <w:t>targeted CAR T-cell product candidate enhanced with CD19 CAR expression and controlled cytokine release designed to improve CAR T-cell expansion, immune cell infiltration and cancer cell killing in the hostile solid tumor microenvironment. LYL273 was granted Fast Track designation for the treatment of mCRC by the FDA.</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U.S. Phase 1 clinical trial, as of the data cutoff date of October 28, 2025, the overall response rate was 50% (6 of 12 patients) and the disease control rate was 83% across both dose levels. At Dose Level 2, the highest dose tested, the overall response rate was 67%, including one patient with a pathological complete response, one patient with complete reduction in tumor volume of the target lesions (100% partial response) and two additional patients with confirmed partial responses (Figure 6). For patients treated at Dose Level 2, the disease control rate was 83%, and the median progression</w:t>
        <w:noBreakHyphen/>
        <w:t xml:space="preserve">free survival was 7.8 months.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this trial, the incidence and severity of treatment-related adverse events were highest at Dose Level 2, where the most common adverse events were cytokine release syndrome in 83% (5/6) of patients (Grade 1, 67%; Grade 2, 17%) and diarrhea in 83% (5/6) of patients (Grade 1, 33%; Grade 2, 33%; Grade 3, 17%). The median duration of diarrhea was 11 days. Immune effector cell-associated neurotoxicity syndrome occurred in 33% (2/6) of patients (Grade 2, 17%; Grade 3, 17%) and resolved rapidly with treatment. One patient experienced a dose-limiting toxicity at Dose Level 2, including Grade 3 diarrhea, Grade 4 enterocolitis and death from fungal sepsis 48 days post-infusion. No Grade 3 or higher diarrhea occurred in the last three patients treated since establishing an optimized management protocol for diarrhea, including prophylaxis.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5"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firstLine="720"/>
        <w:jc w:val="left"/>
        <w:rPr/>
      </w:pPr>
      <w:r>
        <w:rPr>
          <w:rFonts w:ascii="Times New Roman;serif" w:hAnsi="Times New Roman;serif"/>
          <w:b w:val="false"/>
          <w:color w:val="000000"/>
          <w:sz w:val="20"/>
        </w:rPr>
        <w:t>In March 2026, dosing commenced at Dose Level 3 (3 x 10</w:t>
      </w: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CAR T cells/kg). A data update focused on safety from this trial is expected in the first half of 2026, with a second data update including clinical outcomes expected in the second half of 2026.</w:t>
      </w:r>
    </w:p>
    <w:p>
      <w:pPr>
        <w:pStyle w:val="TextBody"/>
        <w:bidi w:val="0"/>
        <w:spacing w:before="120" w:after="283"/>
        <w:ind w:left="0" w:right="0" w:firstLine="720"/>
        <w:jc w:val="center"/>
        <w:rPr/>
      </w:pPr>
      <w:r>
        <w:rPr/>
        <w:drawing>
          <wp:inline distT="0" distB="0" distL="0" distR="0">
            <wp:extent cx="5753100" cy="2819400"/>
            <wp:effectExtent l="0" t="0" r="0" b="0"/>
            <wp:docPr id="3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7" descr=""/>
                    <pic:cNvPicPr>
                      <a:picLocks noChangeAspect="1" noChangeArrowheads="1"/>
                    </pic:cNvPicPr>
                  </pic:nvPicPr>
                  <pic:blipFill>
                    <a:blip r:embed="rId8"/>
                    <a:stretch>
                      <a:fillRect/>
                    </a:stretch>
                  </pic:blipFill>
                  <pic:spPr bwMode="auto">
                    <a:xfrm>
                      <a:off x="0" y="0"/>
                      <a:ext cx="5753100" cy="2819400"/>
                    </a:xfrm>
                    <a:prstGeom prst="rect">
                      <a:avLst/>
                    </a:prstGeom>
                  </pic:spPr>
                </pic:pic>
              </a:graphicData>
            </a:graphic>
          </wp:inline>
        </w:drawing>
      </w:r>
      <w:bookmarkStart w:id="6" w:name="i-7"/>
      <w:bookmarkEnd w:id="6"/>
    </w:p>
    <w:p>
      <w:pPr>
        <w:pStyle w:val="TextBody"/>
        <w:bidi w:val="0"/>
        <w:spacing w:lineRule="auto" w:line="288" w:before="120" w:after="283"/>
        <w:jc w:val="left"/>
        <w:rPr/>
      </w:pPr>
      <w:r>
        <w:rPr>
          <w:rFonts w:ascii="Times New Roman;serif" w:hAnsi="Times New Roman;serif"/>
          <w:b/>
          <w:color w:val="000000"/>
          <w:sz w:val="18"/>
        </w:rPr>
        <w:t xml:space="preserve">Figure 6: </w:t>
      </w:r>
      <w:r>
        <w:rPr>
          <w:rFonts w:ascii="Times New Roman;serif" w:hAnsi="Times New Roman;serif"/>
          <w:b w:val="false"/>
          <w:color w:val="000000"/>
          <w:sz w:val="18"/>
        </w:rPr>
        <w:t xml:space="preserve">In a U.S. Phase 1 clinical trial, the overall response rate was 50% (6 of 12 patients) and the disease control rate was 83% across both dose levels. At Dose Level 2, the highest dose tested, the overall response rate was 67%, including one patient with a pathological complete response, one patient with complete reduction in tumor volume of the target lesions (100% partial response) and two additional patients with confirmed partial responses. For patients treated at Dose Level 2, the disease control rate was 83%, and the median progression-free survival was 7.8 months. </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Clinical proof-of-concept was initially demonstrated in an investigator-sponsored clinical trial conducted in China. Data from this clinical trial in 15 patients with mCRC were published in </w:t>
      </w:r>
      <w:r>
        <w:rPr>
          <w:rFonts w:ascii="Times New Roman;serif" w:hAnsi="Times New Roman;serif"/>
          <w:b w:val="false"/>
          <w:i/>
          <w:color w:val="000000"/>
          <w:sz w:val="20"/>
        </w:rPr>
        <w:t>JAMA Oncology</w:t>
      </w:r>
      <w:r>
        <w:rPr>
          <w:color w:val="000000"/>
        </w:rPr>
        <w:t xml:space="preserve"> </w:t>
      </w:r>
      <w:r>
        <w:rPr>
          <w:rFonts w:ascii="Times New Roman;serif" w:hAnsi="Times New Roman;serif"/>
          <w:b w:val="false"/>
          <w:color w:val="000000"/>
          <w:sz w:val="20"/>
        </w:rPr>
        <w:t xml:space="preserve">(September 2024).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Colorectal cancer is the second leading cause of cancer deaths worldwide, and the incidence of colorectal cancer is rising in people younger than 55 years old. In the United States, there were estimated to be 154,000 total new colorectal cancer diagnoses and about 1 in 5 of these diagnoses will occur in people younger than 55 years old. Approximately 53,000 people were estimated to have died from CRC in the U.S. in 2025. Approximately 25% of patients have metastatic disease at the time of diagnosis and up to 60% of patients diagnosed with colorectal cancer will develop distant metastases at some point during their disease journey.</w:t>
      </w:r>
    </w:p>
    <w:p>
      <w:pPr>
        <w:pStyle w:val="TextBody"/>
        <w:bidi w:val="0"/>
        <w:spacing w:lineRule="auto" w:line="288" w:before="120" w:after="283"/>
        <w:ind w:left="0" w:right="0" w:firstLine="720"/>
        <w:jc w:val="left"/>
        <w:rPr/>
      </w:pPr>
      <w:r>
        <w:rPr>
          <w:rFonts w:ascii="Times New Roman;serif" w:hAnsi="Times New Roman;serif"/>
          <w:b w:val="false"/>
          <w:color w:val="000000"/>
          <w:sz w:val="20"/>
        </w:rPr>
        <w:t>Despite the remaining tremendous unmet medical need for new effective therapies for mCRC, the worldwide net sales for currently approved CRC products are expected to reach $12 billion by 2032 (Figure 7). However, the benefit of approved therapies for mCRC in the 3L+ setting is limited.</w:t>
      </w:r>
      <w:r>
        <w:rPr>
          <w:color w:val="000000"/>
        </w:rPr>
        <w:t xml:space="preserve"> </w:t>
      </w:r>
      <w:r>
        <w:rPr>
          <w:rFonts w:ascii="Times New Roman;serif" w:hAnsi="Times New Roman;serif"/>
          <w:b w:val="false"/>
          <w:color w:val="000000"/>
          <w:sz w:val="20"/>
        </w:rPr>
        <w:t>With the approved products, only six percent or less of patients achieve a partial or complete response to their next line of therapy, the median progression-free survival is 6 months or less and the median overall survival is 11 months or less (Figure 7).</w:t>
      </w:r>
    </w:p>
    <w:p>
      <w:pPr>
        <w:pStyle w:val="TextBody"/>
        <w:bidi w:val="0"/>
        <w:spacing w:before="120" w:after="283"/>
        <w:ind w:left="0" w:right="0" w:firstLine="720"/>
        <w:jc w:val="left"/>
        <w:rPr/>
      </w:pPr>
      <w:r>
        <w:rPr/>
      </w:r>
    </w:p>
    <w:p>
      <w:pPr>
        <w:pStyle w:val="TextBody"/>
        <w:bidi w:val="0"/>
        <w:spacing w:before="120" w:after="283"/>
        <w:jc w:val="center"/>
        <w:rPr/>
      </w:pPr>
      <w:r>
        <w:rPr/>
        <w:drawing>
          <wp:inline distT="0" distB="0" distL="0" distR="0">
            <wp:extent cx="1828800" cy="1771650"/>
            <wp:effectExtent l="0" t="0" r="0" b="0"/>
            <wp:docPr id="3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8" descr=""/>
                    <pic:cNvPicPr>
                      <a:picLocks noChangeAspect="1" noChangeArrowheads="1"/>
                    </pic:cNvPicPr>
                  </pic:nvPicPr>
                  <pic:blipFill>
                    <a:blip r:embed="rId9"/>
                    <a:stretch>
                      <a:fillRect/>
                    </a:stretch>
                  </pic:blipFill>
                  <pic:spPr bwMode="auto">
                    <a:xfrm>
                      <a:off x="0" y="0"/>
                      <a:ext cx="1828800" cy="1771650"/>
                    </a:xfrm>
                    <a:prstGeom prst="rect">
                      <a:avLst/>
                    </a:prstGeom>
                  </pic:spPr>
                </pic:pic>
              </a:graphicData>
            </a:graphic>
          </wp:inline>
        </w:drawing>
      </w:r>
      <w:bookmarkStart w:id="7" w:name="i-8"/>
      <w:bookmarkEnd w:id="7"/>
      <w:r>
        <w:rPr/>
        <w:drawing>
          <wp:inline distT="0" distB="0" distL="0" distR="0">
            <wp:extent cx="3838575" cy="1590675"/>
            <wp:effectExtent l="0" t="0" r="0" b="0"/>
            <wp:docPr id="3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9" descr=""/>
                    <pic:cNvPicPr>
                      <a:picLocks noChangeAspect="1" noChangeArrowheads="1"/>
                    </pic:cNvPicPr>
                  </pic:nvPicPr>
                  <pic:blipFill>
                    <a:blip r:embed="rId10"/>
                    <a:stretch>
                      <a:fillRect/>
                    </a:stretch>
                  </pic:blipFill>
                  <pic:spPr bwMode="auto">
                    <a:xfrm>
                      <a:off x="0" y="0"/>
                      <a:ext cx="3838575" cy="1590675"/>
                    </a:xfrm>
                    <a:prstGeom prst="rect">
                      <a:avLst/>
                    </a:prstGeom>
                  </pic:spPr>
                </pic:pic>
              </a:graphicData>
            </a:graphic>
          </wp:inline>
        </w:drawing>
      </w:r>
      <w:bookmarkStart w:id="8" w:name="i-9"/>
      <w:bookmarkEnd w:id="8"/>
    </w:p>
    <w:p>
      <w:pPr>
        <w:pStyle w:val="TextBody"/>
        <w:bidi w:val="0"/>
        <w:spacing w:lineRule="auto" w:line="240" w:before="0" w:after="0"/>
        <w:jc w:val="left"/>
        <w:rPr/>
      </w:pPr>
      <w:r>
        <w:rPr>
          <w:rFonts w:ascii="Times New Roman;serif" w:hAnsi="Times New Roman;serif"/>
          <w:b/>
          <w:color w:val="000000"/>
          <w:sz w:val="18"/>
        </w:rPr>
        <w:t>Figure 7</w:t>
      </w:r>
      <w:r>
        <w:rPr>
          <w:rFonts w:ascii="Times New Roman;serif" w:hAnsi="Times New Roman;serif"/>
          <w:b w:val="false"/>
          <w:color w:val="000000"/>
          <w:sz w:val="18"/>
        </w:rPr>
        <w:t>:</w:t>
      </w:r>
      <w:r>
        <w:rPr>
          <w:color w:val="000000"/>
        </w:rPr>
        <w:t xml:space="preserve"> </w:t>
      </w:r>
      <w:r>
        <w:rPr>
          <w:rFonts w:ascii="Times New Roman;serif" w:hAnsi="Times New Roman;serif"/>
          <w:b w:val="false"/>
          <w:color w:val="000000"/>
          <w:sz w:val="18"/>
        </w:rPr>
        <w:t>The worldwide market for therapies approved for colorectal cancer is six billion dollars and growing. However, currently approved standard-of-care therapies in the 3L+ setting do not achieve meaningful response rates and provide limited survival benefit.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Our Nonclinical Programs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Cell therapy has demonstrated profound results in some patients suffering from hematologic malignancies, but there remains a need for therapies that deliver more complete and durable responses. Solid tumors are even more complex and have evolved multiple mechanisms to evade and ultimately resist clearance by the immune system. This has limited the use of cell therapy in solid tumors, which account for 90% of cancer deaths. And while there has been recent progress with new cell therapies approved for solid tumors, overall response rates and the duration of response remain low.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continue to invest in earlier stage cell therapy research and development utilizing our proprietary technologies. We are advancing a fully-armed solid tumor CAR T-cell product candidate with an undisclosed target, with the CAR T cells enhanced by multiple technologies, each designed to address different barriers to effective cell therapies, including T</w:t>
        <w:noBreakHyphen/>
        <w:t xml:space="preserve">cell exhaustion, lack of durable stemness, as well as immune suppression within the hostile tumor microenvironment.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Macroeconomic Environment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and operations may be affected by worldwide economic conditions, which may continue to be impacted by global macroeconomic challenges such as the effects of disruption between the U.S. and its trading partners due to tariffs or other policies, ongoing geopolitical conflicts (including military conflicts, threatened hostilities and conflicts or heightened tension in geopolitical relations) and related U.S. involvement, inflationary pressures, fluctuations in the interest rate environment, instability in the banking industry, supply constraints and overall market volatility. Economic uncertainty may persist throughout the remainder of 2026, and the market dynamics and potential business disruptions discussed above and similar adverse conditions may negatively impact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 further discussion of trends, uncertainties and other factors that could impact our operating results, see the section entitled “Risk Factors” in Part II, Item 1A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Components of Results of Operations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Revenue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no products approved for sale and have never generated any revenue from product sales. In the future, we may generate additional revenue from collaborations, strategic alliances, licensing agreements, product sales, or a combination of these.</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Operating Expenses </w:t>
      </w:r>
    </w:p>
    <w:p>
      <w:pPr>
        <w:pStyle w:val="TextBody"/>
        <w:bidi w:val="0"/>
        <w:spacing w:lineRule="auto" w:line="288" w:before="120" w:after="283"/>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Research and Development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date, research and development expenses consist of costs incurred by us for the discovery and development of our technology platforms and product candidates and include costs incurred in connection with conducting and completing current and planned clinical trials, strategic collaborations, costs to license technology, personnel-related costs, stock-based compensation expense, facility and technology related costs, research and laboratory expenses and other expenses, including consulting fees and other costs. Upfront payments and milestones paid to third parties in connection with technology platforms that have not reached technological feasibility and do not have an alternative future use are expensed as incurred.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deploy our employee and infrastructure resources across multiple research and development programs for identifying and developing product candidates and establishing manufacturing capabilities. These include costs for personnel, laboratory and other indirect facility and operating costs.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activities account for a significant portion of our operating expenses. We anticipate that our research and development expenses will increase over the foreseeable future as we expand our research and development efforts including completing nonclinical studies, commencing planned clinical trials, conducting and completing current and planned clinical trials, seeking regulatory approvals of our product candidates, identifying new product candidates and incurring costs to acquire and license technology platforms. A change in the outcome of any of these variables could mean a significant change in the costs and timing associated with the development of our product candidates. Because we are early in our research and clinical development efforts of our product candidates, and the outcome of these efforts is uncertain, we cannot estimate the actual amounts necessary to successfully complete the nonclinical development, clinical development and commercialization of product candidates or whether, or when, we may achieve profitability.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expenses may vary significantly based on factors such as: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number and scope of nonclinical and IND-enabling studies;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per patient trial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40"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number of trials required for approval;</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number of sites included in the trials;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countries in which the trials are conducted;</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length of time required to enroll eligible patients;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number of patients that participate in the trials;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drop-out or discontinuation rates of patients in the trials;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potential additional safety monitoring requested by regulatory agencies;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duration of patient participation in the trials and follow-up;</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cost and timing of manufacturing our product candidates;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phase of development of our product candidates;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efficacy and safety profile of our product candidates;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extent to which we establish additional collaboration or license agreements; and</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whether we choose to partner any of our product candidates and the terms of any such partnership.</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change in the outcome of any of these variables with respect to the development of any of our product candidates could significantly change the costs and timing associated with the development of that product candidate. We may never succeed in obtaining regulatory approval for any of our product candidates. We may obtain unexpected results from our nonclinical studies and clinical trials.</w:t>
      </w:r>
    </w:p>
    <w:p>
      <w:pPr>
        <w:pStyle w:val="TextBody"/>
        <w:bidi w:val="0"/>
        <w:spacing w:lineRule="auto" w:line="288" w:before="120" w:after="283"/>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General and Administrative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costs include personnel-related expenses, including stock-based compensation expense for personnel in executive, legal, finance and other administrative functions, legal costs, transaction costs related to licensing and collaboration agreements, as well as fees paid for accounting and tax services, consulting fees and facilities costs not otherwise included in research and development expenses. Legal costs include those related to corporate, dispute and patent matters.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anticipate that our general and administrative expenses will increase over the foreseeable future to support our continued research and development activities, operations generally, future business development opportunities, consulting fees, as well as the costs of operating as a public company such as costs related to accounting, audit, legal, regulatory and tax-related services associated with maintaining compliance with exchange listing and SEC requirements, director and officer insurance costs and investor and public relations costs.</w:t>
      </w:r>
    </w:p>
    <w:p>
      <w:pPr>
        <w:pStyle w:val="TextBody"/>
        <w:bidi w:val="0"/>
        <w:spacing w:lineRule="auto" w:line="288" w:before="120" w:after="283"/>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Operating Income,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operating income, net consists primarily of service and occupancy fees received associated with subleases as well as losses on the retirement of property and equipment.</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Interest Income,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income, net consists primarily of interest earned on our cash, cash equivalents and marketable securities balances.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Other Income,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income, net consists primarily of the changes in fair value of our SPA put/call (defined below) and success payment liabilities for the three months ended March 31, 2026. Other income, net consists primarily of the changes in fair value associated with our success payment liabilities and contingent consideration payable for the three months ended March 31, 2025.</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The SPA put/call refers to a combined financial instrument arising from the Securities Purchase Agreement (SPA) we entered into in July 2025. It represented (i) our right to require certain investors to purchase additional shares of common stock upon the achievement of specified milestones and (ii) the investors' reciprocal right to purchase additional shares. Because these rights were mutually exclusive, they were accounted for as a single financial instrument (SPA put/call). See Note 7, </w:t>
      </w:r>
      <w:r>
        <w:rPr>
          <w:rFonts w:ascii="Times New Roman;serif" w:hAnsi="Times New Roman;serif"/>
          <w:b w:val="false"/>
          <w:i/>
          <w:color w:val="000000"/>
          <w:sz w:val="20"/>
        </w:rPr>
        <w:t>Fair Value Measurements</w:t>
      </w:r>
      <w:r>
        <w:rPr>
          <w:rFonts w:ascii="Times New Roman;serif" w:hAnsi="Times New Roman;serif"/>
          <w:b w:val="false"/>
          <w:color w:val="000000"/>
          <w:sz w:val="20"/>
        </w:rPr>
        <w:t>, in the accompanying notes to our unaudited condensed consolidated financial statements included in Part I, Item 1, of this Form 10-Q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41"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See Note 3, </w:t>
      </w:r>
      <w:r>
        <w:rPr>
          <w:rFonts w:ascii="Times New Roman;serif" w:hAnsi="Times New Roman;serif"/>
          <w:b w:val="false"/>
          <w:i/>
          <w:color w:val="000000"/>
          <w:sz w:val="20"/>
        </w:rPr>
        <w:t>Asset Acquisitions and Contingent Consideration</w:t>
      </w:r>
      <w:r>
        <w:rPr>
          <w:color w:val="000000"/>
        </w:rPr>
        <w:t xml:space="preserve"> </w:t>
      </w:r>
      <w:r>
        <w:rPr>
          <w:rFonts w:ascii="Times New Roman;serif" w:hAnsi="Times New Roman;serif"/>
          <w:b w:val="false"/>
          <w:color w:val="000000"/>
          <w:sz w:val="20"/>
        </w:rPr>
        <w:t xml:space="preserve">regarding contingent consideration payable, Note 4, </w:t>
      </w:r>
      <w:r>
        <w:rPr>
          <w:rFonts w:ascii="Times New Roman;serif" w:hAnsi="Times New Roman;serif"/>
          <w:b w:val="false"/>
          <w:i/>
          <w:color w:val="000000"/>
          <w:sz w:val="20"/>
        </w:rPr>
        <w:t xml:space="preserve">License, Collaboration and Success Payment Agreements </w:t>
      </w:r>
      <w:r>
        <w:rPr>
          <w:rFonts w:ascii="Times New Roman;serif" w:hAnsi="Times New Roman;serif"/>
          <w:b w:val="false"/>
          <w:color w:val="000000"/>
          <w:sz w:val="20"/>
        </w:rPr>
        <w:t xml:space="preserve">regarding our success payment liabilities and associated expenses and Note 7, </w:t>
      </w:r>
      <w:r>
        <w:rPr>
          <w:rFonts w:ascii="Times New Roman;serif" w:hAnsi="Times New Roman;serif"/>
          <w:b w:val="false"/>
          <w:i/>
          <w:color w:val="000000"/>
          <w:sz w:val="20"/>
        </w:rPr>
        <w:t xml:space="preserve">Fair Value Measurements </w:t>
      </w:r>
      <w:r>
        <w:rPr>
          <w:rFonts w:ascii="Times New Roman;serif" w:hAnsi="Times New Roman;serif"/>
          <w:b w:val="false"/>
          <w:color w:val="000000"/>
          <w:sz w:val="20"/>
        </w:rPr>
        <w:t>regarding our SPA put/call in the accompanying notes to our unaudited condensed consolidated financial statements included in Part I, Item 1 of this Form 10</w:t>
        <w:noBreakHyphen/>
        <w:t>Q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Three Months Ended March 31, 2026 and 2025</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periods presented (in thousands):</w:t>
      </w:r>
    </w:p>
    <w:tbl>
      <w:tblPr>
        <w:tblW w:w="7011" w:type="dxa"/>
        <w:jc w:val="left"/>
        <w:tblInd w:w="0" w:type="dxa"/>
        <w:tblLayout w:type="fixed"/>
        <w:tblCellMar>
          <w:top w:w="28" w:type="dxa"/>
          <w:left w:w="28" w:type="dxa"/>
          <w:bottom w:w="28" w:type="dxa"/>
          <w:right w:w="28" w:type="dxa"/>
        </w:tblCellMar>
      </w:tblPr>
      <w:tblGrid>
        <w:gridCol w:w="861"/>
        <w:gridCol w:w="759"/>
        <w:gridCol w:w="765"/>
        <w:gridCol w:w="211"/>
        <w:gridCol w:w="796"/>
        <w:gridCol w:w="109"/>
        <w:gridCol w:w="109"/>
        <w:gridCol w:w="109"/>
        <w:gridCol w:w="109"/>
        <w:gridCol w:w="211"/>
        <w:gridCol w:w="796"/>
        <w:gridCol w:w="109"/>
        <w:gridCol w:w="109"/>
        <w:gridCol w:w="109"/>
        <w:gridCol w:w="109"/>
        <w:gridCol w:w="211"/>
        <w:gridCol w:w="721"/>
        <w:gridCol w:w="109"/>
        <w:gridCol w:w="109"/>
        <w:gridCol w:w="109"/>
        <w:gridCol w:w="109"/>
        <w:gridCol w:w="109"/>
        <w:gridCol w:w="109"/>
        <w:gridCol w:w="154"/>
      </w:tblGrid>
      <w:tr>
        <w:trPr/>
        <w:tc>
          <w:tcPr>
            <w:tcW w:w="86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Times New Roman;serif" w:hAnsi="Times New Roman;serif"/>
                <w:b/>
                <w:color w:val="000000"/>
                <w:sz w:val="16"/>
              </w:rPr>
              <w:t>Change</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36,604 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(6,843)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Other operating income,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44,263 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57,374 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(13,111)</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(44,261)</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(57,367)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13,106 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00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20,108 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5,172 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14,936 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(24,153)</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(52,195)</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28,042 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our research and development expenses for the periods presented (in thousands):</w:t>
      </w:r>
    </w:p>
    <w:tbl>
      <w:tblPr>
        <w:tblW w:w="9035" w:type="dxa"/>
        <w:jc w:val="left"/>
        <w:tblInd w:w="0" w:type="dxa"/>
        <w:tblLayout w:type="fixed"/>
        <w:tblCellMar>
          <w:top w:w="28" w:type="dxa"/>
          <w:left w:w="28" w:type="dxa"/>
          <w:bottom w:w="28" w:type="dxa"/>
          <w:right w:w="28" w:type="dxa"/>
        </w:tblCellMar>
      </w:tblPr>
      <w:tblGrid>
        <w:gridCol w:w="1663"/>
        <w:gridCol w:w="1458"/>
        <w:gridCol w:w="1468"/>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109"/>
        <w:gridCol w:w="109"/>
        <w:gridCol w:w="154"/>
      </w:tblGrid>
      <w:tr>
        <w:trPr/>
        <w:tc>
          <w:tcPr>
            <w:tcW w:w="1663"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Times New Roman;serif" w:hAnsi="Times New Roman;serif"/>
                <w:b/>
                <w:color w:val="000000"/>
                <w:sz w:val="16"/>
              </w:rPr>
              <w:t>Change</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activities, collaborations and outside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19,615 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technology and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36,604 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43,447 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(6,843)</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were $36.6 million and $43.4 million for the three months ended March 31, 2026 and 2025, respectively. The $6.8 million decrease was due primarily to a $7.5 million decrease in personnel</w:t>
        <w:noBreakHyphen/>
        <w:t>related expenses and a $2.7 million reduction in facilities, technology and depreciation expenses primarily due to lower headcount and reduced severance costs associated with the successful technology transfer of ronde-cel to LyFE in 2025 and reduced depreciation expenses, partially offset by a $3.4 million increase in research activities, collaborations and outside services due primarily to increased clinical trials activity.</w:t>
      </w:r>
    </w:p>
    <w:p>
      <w:pPr>
        <w:pStyle w:val="TextBody"/>
        <w:bidi w:val="0"/>
        <w:spacing w:lineRule="auto" w:line="288" w:before="120" w:after="283"/>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General and Administrative Expenses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were $9.6 million and $14.0 million for the three months ended March 31, 2026 and 2025, respectively. The $4.5 million decrease was primarily due to a $4.0 million decrease in personnel costs, including a $1.5 million decrease in stock-based compensation expense, due to decreased headcount from the successful technology transfer of ronde-cel in 2025. </w:t>
      </w:r>
    </w:p>
    <w:p>
      <w:pPr>
        <w:pStyle w:val="TextBody"/>
        <w:bidi w:val="0"/>
        <w:spacing w:lineRule="auto" w:line="288" w:before="120" w:after="283"/>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Operating Income,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operating income, net was $1.9 million and $0.1 million for the three months ended March 31, 2026 and 2025, respectively. The increase of $1.8 million for the three months ended March 31, 2026 is due primarily to increased sublease income and reduced losses on property and equipment disposals; we recognized $1.3 million of disposal losses in the prior 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42"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Interest Income,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income, net was $2.2 million and $3.9 million for the three months ended March 31, 2026 and 2025, respectively. The decrease in interest income, net of $1.7 million for the three months ended March 31, 2026 was primarily driven by decreased interest rates in 2026 coupled with lower cash equivalent and marketable securities balances.</w:t>
      </w:r>
    </w:p>
    <w:p>
      <w:pPr>
        <w:pStyle w:val="TextBody"/>
        <w:bidi w:val="0"/>
        <w:spacing w:lineRule="auto" w:line="288" w:before="120" w:after="283"/>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Income,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income, net was $17.9 million and $1.3 million for the three months ended March 31, 2026 and 2025, respectively. The increase of $16.6 million in other income, net was primarily driven by a gain of $17.6 million resulting from the change in the fair value of our SPA put/call asset. This gain reflects the reversal of the $11.4 million liability recorded as of December 31, 2025, as well as a realized gain from issuing shares of our common stock at the SPA put/call exercise price of $25.61, which exceeded the market price at the time of settlement.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Liquidity and Capital Resources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Sources of Liquidity</w:t>
      </w:r>
    </w:p>
    <w:p>
      <w:pPr>
        <w:pStyle w:val="TextBody"/>
        <w:bidi w:val="0"/>
        <w:spacing w:lineRule="auto" w:line="288" w:before="120" w:after="283"/>
        <w:ind w:left="0" w:right="0" w:firstLine="720"/>
        <w:jc w:val="left"/>
        <w:rPr/>
      </w:pPr>
      <w:r>
        <w:rPr>
          <w:rFonts w:ascii="Times New Roman;serif" w:hAnsi="Times New Roman;serif"/>
          <w:b w:val="false"/>
          <w:color w:val="000000"/>
          <w:sz w:val="20"/>
          <w:shd w:fill="FFFFFF" w:val="clear"/>
        </w:rPr>
        <w:t xml:space="preserve">Since our inception, we have funded our operations primarily through the sale and issuance of convertible preferred stock, business development activities and the sale of common stock in connection with our IPO, in a private placement financing and pursuant to an at-the-market offering program discussed below. </w:t>
      </w:r>
      <w:r>
        <w:rPr>
          <w:rFonts w:ascii="Times New Roman;serif" w:hAnsi="Times New Roman;serif"/>
          <w:b w:val="false"/>
          <w:color w:val="000000"/>
          <w:sz w:val="20"/>
        </w:rPr>
        <w:t xml:space="preserve">As of March 31, 2026, we had $261.0 million in cash, cash equivalents and marketable securities excluding restricted cash. </w:t>
      </w:r>
      <w:r>
        <w:rPr>
          <w:rFonts w:ascii="Times New Roman;serif" w:hAnsi="Times New Roman;serif"/>
          <w:b w:val="false"/>
          <w:color w:val="000000"/>
          <w:sz w:val="20"/>
          <w:shd w:fill="FFFFFF" w:val="clear"/>
        </w:rPr>
        <w:t xml:space="preserve">Since our inception, we have incurred significant operating losses. </w:t>
      </w:r>
      <w:r>
        <w:rPr>
          <w:rFonts w:ascii="Times New Roman;serif" w:hAnsi="Times New Roman;serif"/>
          <w:b w:val="false"/>
          <w:color w:val="000000"/>
          <w:sz w:val="20"/>
        </w:rPr>
        <w:t>We have not yet commercialized any product candidates, and we do not expect to generate revenue from sales of any product candidates for a few years, if ever. We had an accumulated deficit of $1.6 billion as of March 31, 2026. From June 29, 2018 (inception) through March 31, 2026, we raised an aggregate of $1.5 billion in gross proceeds primarily from the sales of our convertible preferred stock, our IPO and private placements in July 2025 and March 2026 of our common stock pursuant to the SPA.</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2024, we entered into a sales agreement (Sales Agreement) with TD Securities (USA) LLC (formerly known as Cowen and Company, LLC) (TD Cowen) as our sales agent with respect to an at-the-market offering program. In accordance with the terms of the Sales Agreement, we may offer and sell from time to time through TD Cowen shares of our common stock having an aggregate offering amount of up to $150.0 million (the Placement Shares). Sales of the Placement Shares are made at prevailing market prices on Nasdaq at the time of sale, or as otherwise agreed with the Agent, by any method permitted by law deemed to be an “at-the-market offering” as defined in Rule 415 of the Securities Act of 1933, as amended (the Securities Act). We pay commissions to TD Cowen of up to 3% of the gross proceeds of the sale of the Placement Shares sold under the Sales Agreement and reimburse TD Cowen for certain expenses. Neither us nor TD Cowen is obligated to sell any shares. During the three months ended March 31, 2026, we sold 65,092 shares of our common stock under the Sales Agreement for net proceeds of approximately $1.7 million.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Securities Purchase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25, 2025, we issued 3,753,752 shares of common stock at a purchase price of $13.32 per share at an initial closing pursuant to the SPA for gross proceeds of approximately $50.0 million. On March 6, 2026, we issued 1,952,360 shares of common stock at a purchase price of $25.61 per share at a subsequent closing pursuant to the SPA for gross proceeds of approximately $50.0 million.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Future Funding Requirements</w:t>
      </w:r>
    </w:p>
    <w:p>
      <w:pPr>
        <w:pStyle w:val="TextBody"/>
        <w:bidi w:val="0"/>
        <w:spacing w:lineRule="auto" w:line="288" w:before="120" w:after="283"/>
        <w:ind w:left="0" w:right="0" w:firstLine="720"/>
        <w:jc w:val="left"/>
        <w:rPr/>
      </w:pPr>
      <w:r>
        <w:rPr>
          <w:rFonts w:ascii="Times New Roman;serif" w:hAnsi="Times New Roman;serif"/>
          <w:b w:val="false"/>
          <w:color w:val="000000"/>
          <w:sz w:val="20"/>
          <w:shd w:fill="FFFFFF" w:val="clear"/>
        </w:rPr>
        <w:t xml:space="preserve">We expect to incur additional losses in the foreseeable future as we conduct and expand our research and development efforts, including conducting nonclinical studies and clinical trials, developing new product candidates, establishing, improving and maintaining internal manufacturing capabilities and funding our operations generally. Based on our current operating plan, we believe that our existing cash, cash equivalents and marketable securities will be sufficient to meet our working capital and capital expenditure needs for at least the next 12 months. However, we anticipate that we will need to raise additional capital in the future to fund our operations, including further development of our product candidates and the commercialization of any approved product candidates. </w:t>
      </w:r>
      <w:r>
        <w:rPr>
          <w:rFonts w:ascii="Times New Roman;serif" w:hAnsi="Times New Roman;serif"/>
          <w:b w:val="false"/>
          <w:color w:val="000000"/>
          <w:sz w:val="20"/>
        </w:rPr>
        <w:t>In addition, we regularly consider fund</w:t>
        <w:noBreakHyphen/>
        <w:t xml:space="preserve">raising opportunities and may decide, from time to time, to raise additional capital, including pursuant to the Sales Agreement, based on various factors, including market conditions and our plans of operation. </w:t>
      </w:r>
      <w:r>
        <w:rPr>
          <w:rFonts w:ascii="Times New Roman;serif" w:hAnsi="Times New Roman;serif"/>
          <w:b w:val="false"/>
          <w:color w:val="000000"/>
          <w:sz w:val="20"/>
          <w:shd w:fill="FFFFFF" w:val="clear"/>
        </w:rPr>
        <w:t>We are subject to the risks typically related to the development of new products, and we may encounter unforeseen expenses, difficulties, complications, delays and other unknown factors that may adversely affect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future capital requirements will depend on many factors, including:</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scope, timing, progress, costs and results of discovery, nonclinical development and clinical trials for our current and future product candidates and any additional nonclinical studies;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43"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number of clinical trials required for regulatory approval of our current and future product candidates;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costs, timing and outcome of regulatory review of any of our current and future product candidates;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cost of manufacturing clinical and commercial supplies of our current and future product candidates, including increases in these costs as a result of tariffs;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costs and timing of future commercialization activities, including manufacturing, marketing, sales and distribution, for any of our product candidates for which we receive marketing approval;</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further investment to build additional manufacturing facilities or expand the capacity of our existing ones;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costs and timing of preparing, filing and prosecuting patent applications, maintaining and enforcing our intellectual property rights and defending any intellectual property-related claims;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our ability to maintain existing, and establish new, collaborations, licenses, product acquisitions or other strategic transactions and the fulfillment of our financial obligations under any such agreements, including the timing and amount of any success payment, future contingent payments, milestone, royalty or other payments due under any such agreement;</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revenue, if any, received from commercial sales of our product candidates for which we receive marketing approval;</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expenses to attract, hire and retain skilled personnel;</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costs of operating as a public company, including legal, accounting and other related expenses as well as costs relating to maintaining or expanding our operational, financial and management systems;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 xml:space="preserve">addressing or responding to any potential disputes or litigation; </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extent to which we acquire or invest in businesses, products and technologies; and</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integration of any new businesses, products and technologies, such as LYL273, into our business.</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Until such time as we complete nonclinical and clinical development and receive regulatory approval of our product candidates and can generate significant revenue from product sales, if ever, we expect to finance our operations from the sale of additional equity or debt financings, or other capital that comes in the form of strategic collaborations, licensing, or other arrangements. In the event that additional capital is required, we may not be able to raise it on terms acceptable to us, or at all. If we raise additional funds through the issuance of equity or convertible debt securities, including pursuant to the Sales Agreement, it may result in dilution to our existing stockholders. Debt financing or preferred equity financing, if available, may result in increased fixed payment obligations, and the existence of securities with rights that may be senior to those of our common stock. If we incur indebtedness, we could become subject to covenants that may restrict our operations. If we raise funds through strategic collaboration, licensing or other arrangements, we may relinquish significant rights or grant licenses on terms that are not favorable to us. Our ability to raise additional funds may be adversely impacted by potential worsening global economic conditions and disruptions to, and volatility in, the credit and financial markets in the United States and worldwide resulting from tariffs, actual or perceived changes in interest rates and economic inflation, and otherwise. If we are unable to raise additional capital when desired, our business, results of operations and financial condition would be adversely affected.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Material Cash Requirements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We continually evaluate our liquidity and capital resources to ensure that we can adequately and efficiently finance our operations. As of March 31, 2026, our material cash requirements consisted primarily of paying salaries and benefits, administering clinical trials, conducting research, improving our manufacturing capabilities, providing the technology and facilities necessary to support our operations, funding operating lease obligations and other payments related to our license and collaboration agreements and the acquisitions of ImmPACT and our LYL273 license. See Note 3, </w:t>
      </w:r>
      <w:r>
        <w:rPr>
          <w:rFonts w:ascii="Times New Roman;serif" w:hAnsi="Times New Roman;serif"/>
          <w:b w:val="false"/>
          <w:i/>
          <w:color w:val="000000"/>
          <w:sz w:val="20"/>
        </w:rPr>
        <w:t>Asset Acquisitions and Contingent Consideration</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Note 4, </w:t>
      </w:r>
      <w:r>
        <w:rPr>
          <w:rFonts w:ascii="Times New Roman;serif" w:hAnsi="Times New Roman;serif"/>
          <w:b w:val="false"/>
          <w:i/>
          <w:color w:val="000000"/>
          <w:sz w:val="20"/>
        </w:rPr>
        <w:t>License, Collaboration and Success Payment Agreements</w:t>
      </w:r>
      <w:r>
        <w:rPr>
          <w:rFonts w:ascii="Times New Roman;serif" w:hAnsi="Times New Roman;serif"/>
          <w:b w:val="false"/>
          <w:color w:val="000000"/>
          <w:sz w:val="20"/>
        </w:rPr>
        <w:t xml:space="preserve">, and Note 8, </w:t>
      </w:r>
      <w:r>
        <w:rPr>
          <w:rFonts w:ascii="Times New Roman;serif" w:hAnsi="Times New Roman;serif"/>
          <w:b w:val="false"/>
          <w:i/>
          <w:color w:val="000000"/>
          <w:sz w:val="20"/>
        </w:rPr>
        <w:t>Leases</w:t>
      </w:r>
      <w:r>
        <w:rPr>
          <w:rFonts w:ascii="Times New Roman;serif" w:hAnsi="Times New Roman;serif"/>
          <w:b w:val="false"/>
          <w:color w:val="000000"/>
          <w:sz w:val="20"/>
        </w:rPr>
        <w:t>, in the accompanying notes to the unaudited condensed consolidated financial statements included in Part I, Item 1 of this Quarterly Report on Form 10-Q,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44"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indicated (in thousands):</w:t>
      </w:r>
    </w:p>
    <w:tbl>
      <w:tblPr>
        <w:tblW w:w="7314" w:type="dxa"/>
        <w:jc w:val="left"/>
        <w:tblInd w:w="0" w:type="dxa"/>
        <w:tblLayout w:type="fixed"/>
        <w:tblCellMar>
          <w:top w:w="28" w:type="dxa"/>
          <w:left w:w="28" w:type="dxa"/>
          <w:bottom w:w="28" w:type="dxa"/>
          <w:right w:w="28" w:type="dxa"/>
        </w:tblCellMar>
      </w:tblPr>
      <w:tblGrid>
        <w:gridCol w:w="1703"/>
        <w:gridCol w:w="1499"/>
        <w:gridCol w:w="1508"/>
        <w:gridCol w:w="211"/>
        <w:gridCol w:w="796"/>
        <w:gridCol w:w="109"/>
        <w:gridCol w:w="109"/>
        <w:gridCol w:w="109"/>
        <w:gridCol w:w="109"/>
        <w:gridCol w:w="211"/>
        <w:gridCol w:w="796"/>
        <w:gridCol w:w="154"/>
      </w:tblGrid>
      <w:tr>
        <w:trPr/>
        <w:tc>
          <w:tcPr>
            <w:tcW w:w="1703"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(38,510)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(54,738)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69,466 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51,722 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30,590 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14,729 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Operating Activities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net cash used in operating activities was $38.5 million, reflecting our net loss of $24.2 million, in addition to non-cash items primarily related to the gain on the SPA put/call of $17.6 million and non-cash lease income of $1.1 million, partially offset by stock-based compensation expense of $4.3 million and depreciation and amortization expense of $2.3 million. Additionally, net operating assets and liabilities decreased $1.1 million, which also contributed to the net cash used in operating activities.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net cash used in operating activities was $54.7 million, reflecting our net loss of $52.2 million, partially offset by $7.0 million of non-cash items primarily related to stock-based compensation expense of $6.0 million, depreciation and amortization expense of $3.4 million and losses on property and equipment disposals of $1.3 million, partially offset by net amortization and accretion on marketable securities of $1.7 million and the change in the fair value of our contingent consideration payable of $1.2 million. Additionally, net operating assets and liabilities decreased $9.6 million primarily driven by a $9.8 million decrease in accrued liabilities and other current liabilities, which also contributed to the net cash used in operating activities.</w:t>
      </w:r>
    </w:p>
    <w:p>
      <w:pPr>
        <w:pStyle w:val="TextBody"/>
        <w:bidi w:val="0"/>
        <w:spacing w:lineRule="auto" w:line="288" w:before="120" w:after="283"/>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Investing Activities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and March 31, 2025, cash provided by investing activities was $17.4 million and $69.5 million, respectively, consisting primarily of net maturities and purchases of marketable securities. </w:t>
      </w:r>
    </w:p>
    <w:p>
      <w:pPr>
        <w:pStyle w:val="TextBody"/>
        <w:bidi w:val="0"/>
        <w:spacing w:lineRule="auto" w:line="288" w:before="120" w:after="283"/>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Financing Activities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cash provided by financing activities was $51.7 million, consisting primarily of proceeds from the issuance of $50.0 million of common stock under the SPA and $1.7 million from our at-the-market equity financing.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cash provided by financing activities was approximately zero.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unaudited condensed consolidated financial statements are prepared in accordance with U.S. generally accepted accounting principles (GAAP). The preparation of these unaudited condensed consolidated financial statements requires us to make estimates and assumptions that affect the reported amounts of assets and liabilities and the disclosure of contingent liabilities at the date of the unaudited condensed consolidated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as compared to those described in our 2025 Annual Report other than the SPA put/call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risks in the ordinary course of our business. Our primary risks include interest rate sensitivities.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5"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had cash equivalents of $74.0 million as of March 31, 2026, which consisted of money market funds and highly liquid investments purchased with original maturities of three months or less from the purchase date. We also had fixed income marketable securities of $170.2 million as of March 31, 2026. The primary objective of our investment activities is to preserve capital to fund our operations, and we currently do not hedge our interest rate risk exposure. Because our fixed income marketable securities are primarily short-term in duration, our exposure to interest rate risk is not significant, and a hypothetical 10% relative change in interest rates during any of the periods presented would not have had a material effect on our unaudited condensed consolidated financial statements included in Part I, Item 1 of this Quarterly Report on Form 10-Q. We had no debt outstanding as of March 31, 2026.</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Foreign Currency Exchange Risk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Substantially all of our employees and operations are currently located in the United States and our expenses are generally denominated in U.S. dollars. We have limited operations in Australia that are not material to our financial statements. We therefore are not currently exposed to significant market risk related to changes in foreign currency exchange rates. However, we have contracted with and may continue to contract with non-U.S. vendors who we may pay in their local currency. Our operations may be subject to fluctuations in foreign currency exchange rates in the future. To date, foreign currency transaction gains and losses have not been material to our unaudited condensed consolidated financial statements, and we have not had a formal hedging program with respect to foreign currency. A hypothetical 10% change in exchange rates during any of the periods presented would not have had a material effect on our unaudited condensed consolidated financial statements included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Evaluation of Disclosure Controls and Procedures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with the participation and supervision of our Chief Executive Officer and our Chief Financial and Business Officer, have evaluated our disclosure controls and procedures as defined in Rules 13a-15(e) and 15d-15(e) of the Securities Exchange Act of 1934 (Exchange Act) as of March 31, 2026.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and Business Officer, to allow timely decisions regarding required disclosures.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our Chief Financial and Business Officer concluded that, as of March 31, 2026, the design and operation of our disclosure controls and procedures were effective at a reasonable assurance level.</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Chief Executive Officer and our Chief Financial and Business Officer,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during the quarter ended March 31, 2026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6"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have been or may become involved in material legal proceedings or be subject to claims arising in the ordinary course of our business. We are currently not party to any legal proceedings material to our operations or of which any of our property is the subject, nor are we aware of any such proceedings that are contemplated by a government authority or otherwise. Regardless of outcome, any such proceedings or claims are subject to inherent uncertainties and can have an adverse impact on us because of defense and settlement costs, diversion of time and resources and other factors, and there can be no assurances that favorable outcomes will be obtained.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720"/>
        <w:jc w:val="left"/>
        <w:rPr/>
      </w:pPr>
      <w:r>
        <w:rPr>
          <w:rFonts w:ascii="Times New Roman;serif" w:hAnsi="Times New Roman;serif"/>
          <w:b w:val="false"/>
          <w:i/>
          <w:color w:val="000000"/>
          <w:sz w:val="20"/>
        </w:rPr>
        <w:t xml:space="preserve">Our business involves significant risks, some of which are described below. You should carefully consider the risks described below, as well as the other information contained in this Quarterly Report on Form 10-Q, including our unaudited condensed consolidated financial statements and the related notes and the section titled “Management’s Discussion and Analysis of Financial Condition and Results of Operations.”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The risk factors set forth below that are marked with an asterisk (*) contain substantive changes to the similarly titled risk factors included in, or did not appear as separate risk factors in, Item 1A of our </w:t>
      </w:r>
      <w:r>
        <w:rPr>
          <w:rFonts w:ascii="Times New Roman;serif" w:hAnsi="Times New Roman;serif"/>
          <w:b w:val="false"/>
          <w:color w:val="000000"/>
          <w:sz w:val="20"/>
        </w:rPr>
        <w:t xml:space="preserve">2025 </w:t>
      </w:r>
      <w:r>
        <w:rPr>
          <w:rFonts w:ascii="Times New Roman;serif" w:hAnsi="Times New Roman;serif"/>
          <w:b w:val="false"/>
          <w:i/>
          <w:color w:val="000000"/>
          <w:sz w:val="20"/>
        </w:rPr>
        <w:t>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Summary of Risk Factors</w:t>
      </w:r>
    </w:p>
    <w:p>
      <w:pPr>
        <w:pStyle w:val="TextBody"/>
        <w:bidi w:val="0"/>
        <w:spacing w:lineRule="auto" w:line="288" w:before="12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Below is a summary of material factors that make an investment in our securities speculative or risky. Importantly, this summary does not address all of the risks and uncertainties that we face. Additional discussion of the risks and uncertainties summarized in this risk factor summary, as well as other risks and uncertainties that we face, follows this summary. This summary is qualified in its entirety by that more complete discussion of such risks and uncertainties.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are a late-stage clinical cell therapy company that has incurred substantial losses since our inception and anticipate that we will continue to incur substantial and increasing net losses for the foreseeable future.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will require substantial additional capital to achieve our goals, and a failure to obtain this necessary capital when needed could force us to delay, limit, reduce or terminate our product development or commercialization efforts.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currently have no products approved for sale and have never generated revenue from product sales. We may never generate revenue from product sales or achieve profitability.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operate in a rapidly evolving field and have a limited operating history, which may make it difficult to evaluate the success of our business to date and to assess our future viability.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milestone, royalty and success payment obligations may result in dilution to our stockholders or may reduce the availability of our cash resources to satisfy the payment obligations, which could cause our operating results and financial condition to fluctuate significantly from quarter to quarter and year to year and may reduce the usefulness of our GAAP consolidated financial statements.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we are unable to successfully develop, manufacture and commercialize product candidates or experience significant delays in doing so, our business may be harmed.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product candidates and technologies are based on novel technologies that are unproven and may not result in approvable or marketable products, which expose us to unforeseen risks and make it difficult for us to predict the time and cost of product development and potential for regulatory approval, and we may not be successful in our efforts to use and expand our technologies to develop any product candidate.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results of research, nonclinical studies or earlier clinical trials are not necessarily predictive of future results. If clinical trials of our product candidates fail to produce, or continue to produce, positive results or demonstrate satisfactory safety and efficacy, at the appropriate dose level or at all, we may incur additional costs or experience delays in completing, or ultimately be unable to complete, the development and commercialization of our product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7"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Clinical development involves a lengthy and expensive process with an uncertain outcome.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Interim, topline or preliminary data from our clinical trials that we announce or publish from time to time may change as more patient data become available or as we make changes to our manufacturing processes and are subject to audit and verification procedures that could result in material changes in the final data.</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acquired ImmPACT in October 2024 and LYL273 in November 2025 and may not realize the benefits of such acquisitions or any potential future collaborations, licenses, product acquisitions or other strategic transactions.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face substantial competition in a rapidly changing industry, which may result in others discovering, developing or commercializing products before or more successfully than we do.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manufacturing of cell therapies is very complex. We are subject to a multitude of manufacturing risks, any of which could substantially increase our costs, delay our programs or limit supply of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Cell-based therapies rely on the availability of specialty raw materials, which may not be available to us on acceptable terms or at all.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currently manufacture drug products for our clinical trials ourselves. Delays in further qualifying or in receiving regulatory approvals for any manufacturing facility or product candidates, or in expanding our manufacturing capacity, could delay our development plans and thereby limit our ability to generate product revenues.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our clinical manufacturing facility in Bothell, Washington or any of our potential contract manufacturing organizations is damaged or destroyed or production at these facilities is otherwise interrupted, our business would be negatively affected.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rely on third parties to assist in conducting and monitoring our clinical trials and for some of our research and non-clinical studies for our product candidates, and, if those third parties do not successfully carry out their contractual duties, comply with regulatory requirements or otherwise perform satisfactorily, we may not be able to obtain regulatory approval or commercialize product candidates, or such approval or commercialization may be delayed, and our business may be substantially harmed.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depend on the enrollment and retention of patients in our current and planned clinical trials for our product candidates. If we experience delays or difficulties enrolling or retaining patients in our clinical trials, our research and development efforts and business, financial condition and results of operations could be materially adversely affected.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do and will continue to or intend to rely on outside scientists and clinical trial investigators and their third-party research institutions for research and development and clinical testing of our product candidates. These scientists, investigators and institutions may have other commitments or conflicts of interest, which could limit our access to their expertise and harm our ability to leverage our technologies.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have in the past, and we may in the future, form or seek collaborations or strategic alliances or enter into additional licensing arrangements, and we may not realize the benefits of such alliances or licensing arrangements.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are currently in clinical development of our product candidates, and our future success is dependent on the successful development and regulatory approval of our product candidates and any product candidates we acquire.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cell therapy product candidates represent new therapeutic approaches that could result in heightened regulatory scrutiny, delays in clinical development or delays in our ability to achieve regulatory approvals, commercialization or payor coverage of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we are unable to obtain and maintain sufficient intellectual property protection for our product candidates, or if the scope of the intellectual property protection is not sufficiently broad, our ability to commercialize our product candidates successfully and to compete effectively may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Related to Our Financial Condition, Limited Operating History and Need for Additional Capital</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We are a late-stage clinical cell therapy company that has incurred substantial losses since our inception and anticipate that we will continue to incur substantial and increasing net losses for the foreseeable future.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Investment in biopharmaceutical product development is highly speculative because it entails substantial upfront capital expenditures and significant risk that a product candidate will fail to prove safe and effective, gain regulatory approval or become commercially viable. We are a late-stage clinical cell therapy company that does not yet have any products approved by regulatory authorities for sale, and we have incurred significant research, development and other expenses related to our ongoing operations and expect to continue to incur such expenses. Since our inception, we have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8"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generated any revenue from product sales and have incurred significant net losses. Substantially all of our net losses since inception have resulted from our research and development programs and general and administrative costs associated with our operations.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expect to generate revenue from product sales for the foreseeable future, if at all. We also expect to continue to incur significant expenses and operating losses for the foreseeable future. We anticipate these losses to increase as we continue to research, develop and seek regulatory approvals for our product candidates, expand our manufacturing capabilities, in-license or acquire additional technologies and potentially begin to commercialize product candidates that may achieve regulatory approval. We may encounter unforeseen expenses, difficulties, complications, delays and other unknown factors that may adversely affect our business. The size of our future net losses will depend, in part, on the rate of future growth of our expenses and our ability to generate revenues. Moreover, our net losses may fluctuate significantly from quarter to quarter and year to year, such that a period</w:t>
        <w:noBreakHyphen/>
        <w:t>to</w:t>
        <w:noBreakHyphen/>
        <w:t>period comparison of our results of operations may not be a good indication of our future performance. If any of our product candidates fails in research and development or clinical trials or does not gain regulatory approval, or, if approved, fails to achieve market acceptance, we may never become profitable. Even if we achieve profitability in the future, we may not be able to sustain profitability in subsequent periods.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to incur additional expenses and operating losses in the foreseeable future, as we: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commence and continue clinical trials, including pivotal trials, of our current and future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continue nonclinical development of our current and future product candidates and initiate additional nonclinical studies;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advance our other research and development efforts;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acquire and license technology or technologies;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attract, hire and retain qualified personnel;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seek regulatory approval of our current and future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expand our manufacturing and process development capabilities;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expand our operational, financial and management systems and compliance programs;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prepare for future commercialization activities, including marketing, sales and distribution for any of our product candidates for which we receive marketing approval;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continue to develop, protect and defend our intellectual property portfolio;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incur additional legal, accounting or other expenses in operating our business, including the additional costs associated with operating as a public company.</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will require substantial additional capital to achieve our goals, and a failure to obtain this necessary capital when needed could force us to delay, limit, reduce or terminate our product development or commercialization efforts.*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limited resources and we expect to need to expend substantial resources for the foreseeable future to advance and expand our research pipeline, conduct nonclinical studies and pursue clinical development and manufacturing of our product candidates. We also expect to continue to expend resources for the development of our technologies. These expenditures will include costs associated with research and development, conducting nonclinical studies and clinical trials, acquiring or licensing new technologies and potentially obtaining regulatory approvals and manufacturing products, as well as marketing and selling products approved for sale, if any. We will also need to make significant expenditures to expand our medical affairs organization for medical education and develop a commercial organization capable of sales, marketing and distribution for products, if any, that we intend to sell ourselves in the markets in which we choose to commercialize. In addition, we may be required to make success payments and other contingent consideration payments under our license, collaboration and other agreements. Because the design and outcome of our planned and anticipated clinical trials are highly uncertain, we cannot reasonably estimate the actual amounts necessary to successfully complete the discovery, development and commercialization of our existing and potential product candidates, and other unanticipated costs may arise. Our current resources may be insufficient to support or complete the discovery, development and commercialization of our existing and potential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of expense timing, as well as diligent expense management, we believe that our existing cash, cash equivalents and marketable securities will be sufficient to meet our working capital and capital expenditure needs into the third quarter of 2027. However, our future capital requirements and the period for which our existing resources will support our operations may vary significantly from what we expect, and we will in any event require additional capital to complete clinical development of any of our current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49"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have any committed external source of funds. Additional funds may not be available when we need them on terms that are acceptable to us, or at all, and our ability to raise additional capital may be adversely impacted by potentially unfavorable global economic conditions or conditions in the biopharmaceutical industry, including disruptions to, or volatility in, the credit and financial markets in the United States and worldwide, actual or perceived changes in interest rates and economic inflation, the current or anticipated impact of geopolitical instability and otherwise. In February 2024, we entered into the Sales Agreement with TD Cowen, acting as our sales agent, pursuant to which we may offer and sell shares of our common stock having an aggregate offering price of up to $150.0 million from time to time in a series of one or more at</w:t>
        <w:noBreakHyphen/>
        <w:t>the</w:t>
        <w:noBreakHyphen/>
        <w:t>market equity offerings. Neither we nor TD Cowen are obligated to sell any shares. As of March 31, 2026, we have sold 65,092 shares of our common stock under the Sales Agreement. If adequate funds are not available to us on a timely basis, including pursuant to the Sales Agreement, we may be required to delay, limit, reduce or terminate nonclinical studies, clinical trials or other development activities for our product candidates or delay, limit, reduce or terminate our establishment of sales, marketing and distribution capabilities or other activities that may be necessary to commercialize our product candidates.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currently have no products approved for sale and have never generated revenue from product sales. We may never generate revenue from product sales or achieve profitability.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date, we have not generated any revenues from product sales. Our ability to generate revenues from product sales and achieve profitability will depend on our ability to successfully develop and subsequently obtain regulatory approvals for and commercialize our product candidates. Our ability to generate revenues and achieve profitability also depends on a number of additional factors, including our ability to: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successfully complete our research activities to identify the technologies and product candidates to further investigate in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successfully complete development activities, including the necessary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complete and submit regulatory submissions to the FDA, the European Medicines Agency or other agencies and obtain regulatory approval for indications for which there is a commercial market;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obtain coverage and adequate reimbursement from third parties, including government and private payors;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set commercially viable prices for our products, if any;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develop manufacturing and distribution processes for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produce commercial quantities of our products at acceptable cost levels;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maintain adequate supply of our product candidates, including any starting materials and reagents needed;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maintain the supply of our product candidates in a manner that is compliant with global legal requirements or to the extent necessary;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establish and maintain manufacturing relationships with reliable third parties;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achieve market acceptance of our products, if any;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attract, hire and retain qualified personnel;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protect our rights in our intellectual property portfolio;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develop a commercial organization capable of sales, marketing and distribution for any products we intend to sell ourselves in the markets in which we choose to commercialize on our own;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find suitable distribution partners to help us market, sell and distribute our approved products in other markets.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revenues for any product for which regulatory approval is obtained will be dependent, in part, upon the size of the markets in the territories for which we gain regulatory approval, the availability of other competing approved or commonly used therapies in the indications for which we are approved, the accepted price for the product, the ability to get reimbursement at any price and whether we own the commercial rights for that territory. In addition, we anticipate incurring significant costs associated with commercializing any approved product. As a result, even if we generate revenue from product sales, we may not become profitable and may need to obtain additional funding to continue operations. If we fail to become profitable or are unable to sustain profitability on a continuing basis, then we may be unable to continue our operations at planned levels and may be forced to reduce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50"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operate in a rapidly evolving field and have a limited operating history, which may make it difficult to evaluate the success of our business to date and to assess our future viability.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operate in a rapidly evolving field and, having commenced operations in June 2018, have a limited operating history, which makes it difficult to evaluate our business and prospects. Our primary activities to date have included conducting research and development, regulatory submissions and other preparations to initiate and execute clinical trials, executing clinical trials, enabling and executing manufacturing activities in support of our product candidate development efforts, acquiring technology, entering into strategic collaboration and license agreements, organizing and staffing the company, business planning, establishing and maintaining our intellectual property portfolio, raising capital and providing general and administrative support for these activities. Any predictions about our future success, performance or viability may not be as accurate as they could be if we had a longer operating history or approved products on the market.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may encounter unforeseen expenses, difficulties, complications, delays and other known and unknown factors. If successful, we will need to transition at some point from a company with a research and development focus to a company capable of supporting commercial activities. We may not be successful in such a transition. We expect our financial condition and operating results to continue to fluctuate significantly from quarter to quarter and year to year due to a variety of factors, many of which are beyond our control. Accordingly, any of our quarterly or annual periods’ results are not indicative of future operating performance.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milestone, royalty and success payment obligations may result in dilution to our stockholders or may reduce the availability of our cash resources to satisfy the payment obligations, which could cause our operating results and financial condition to fluctuate significantly from quarter to quarter and year to year and may reduce the usefulness of our GAAP consolidated financial statements.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Agreement and Plan of Merger, dated as of October 24, 2024, by and among Lyell, ImmPACT, Inspire Merger Sub Inc. and WT Representative LLC, solely in its capacity as the Representative (the Merger Agreement), we have assumed ImmPACT’s rights and obligations under the UCLA License Agreement, pursuant to which we are obligated to pay a nominal, tiered annual license maintenance fee, one-time milestone payments for each commercialized licensed product and a tiered royalty on worldwide annual net sales of commercialized licensed products.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in connection with the ICT License Agreement, ICT is eligible to receive additional cash and equity payments of (i) a potential $30 million clinical milestone payment, up to $115 million upon the achievement of certain late-stage regulatory milestones and up to $675 million in commercial sales milestones; (ii) up to an additional 1.85 million shares of our common stock based on the achievement of certain clinical and regulatory milestones; and (iii) tiered royalties ranging from mid-single digits up to 10% on annual net sales in the United States and low to mid-single</w:t>
        <w:noBreakHyphen/>
        <w:t xml:space="preserve">digit royalties on annual net sales in other countries within the licensed territory. </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We also agreed to make success payments payable in cash or publicly-tradeable shares of our common stock at our discretion pursuant to our success payment agreements with Fred Hutch and Stanford, pursuant to which we may be required to make success payments based on increases in the per share fair value of our common stock on each contractually prescribed measurement date. Our success payment obligations are recorded as liabilities on our consolidated balance sheets. Under U.S. generally accepted accounting principles (GAAP), we are required to estimate the fair value of these liabilities as of each quarter end. Changes in the success payment liabilities fair value are recognized in other income or expense, net. We may have additional obligations owed to third parties in the form of cash or equity. Factors that may lead to increases or decreases in the estimated fair value of our success payment liabilities include, among others, changes in the value of the common stock, changes in volatility and changes in the risk-free rate. For information related to our success payment obligations, see Note 4, </w:t>
      </w:r>
      <w:r>
        <w:rPr>
          <w:rFonts w:ascii="Times New Roman;serif" w:hAnsi="Times New Roman;serif"/>
          <w:b w:val="false"/>
          <w:i/>
          <w:color w:val="000000"/>
          <w:sz w:val="20"/>
        </w:rPr>
        <w:t>License, Collaboration and Success Payment Agreements</w:t>
      </w:r>
      <w:r>
        <w:rPr>
          <w:rFonts w:ascii="Times New Roman;serif" w:hAnsi="Times New Roman;serif"/>
          <w:b w:val="false"/>
          <w:color w:val="000000"/>
          <w:sz w:val="20"/>
        </w:rPr>
        <w:t>, in the accompanying notes to our unaudited condensed consolidated financial statements included in Part I, Item 1 of this Quarterly Report on Form 10</w:t>
        <w:noBreakHyphen/>
        <w:t>Q.</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satisfy our obligations to make these milestone and success payments, if and when they are triggered, we may issue equity or convertible debt securities, as applicable, that may cause dilution to our stockholders. We may also use our existing cash to satisfy the milestone, royalty or success payment obligations, if and as applicable, in the future, which may adversely affect our financial position. As a result, our operating results and financial condition as reported by GAAP may fluctuate significantly from quarter to quarter and from year to year, which may reduce the usefulness of our GAAP consolidated financial statements. In addition, these success, milestone and royalty payments may impede our ability to raise money in future public offerings of debt or equity securities or to obtain a third-party line of credit.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ability to use our net operating loss carryforwards and certain other tax attributes may be limited.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Tax Cuts and Jobs Act of 2017 (the Tax Act), as modified by the Coronavirus Aid, Relief, and Economic Security Act (the CARES Act), our net operating losses (NOLs) generated in tax years beginning after December 31, 2017 may be carried forward indefinitely, but the deductibility of such federal NOLs is limited to 80%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885"/>
                <wp:effectExtent l="0" t="0" r="0" b="0"/>
                <wp:wrapNone/>
                <wp:docPr id="51"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taxable income. There is variation in how states have responded and may continue to respond to the Tax Act and CARES Act. In addition, under Sections 382 and 383 of the U.S. Internal Revenue Code of 1986, as amended (the Code), if a corporation undergoes an “ownership change,” generally defined as a greater than 50 percentage point change (by value) in its equity ownership by certain stockholders over a three-year period, the corporation’s ability to use its pre-change NOLs and other pre-change tax attributes (such as research and development tax credits) to offset its post-change income or taxes may be limited. We may have experienced ownership changes in the past, including as a result of our initial public offering (IPO), and may experience future ownership changes as a result of subsequent shifts in our stock ownership (some of which may be outside our control). As a result, our ability to use our pre-change NOLs and tax credits to offset post-change taxable income, if any, could be subject to limitations. Similar provisions of state tax law may also apply. In addition, at the state level, there may be periods during which the use of NOLs is suspended or otherwise limited, which could accelerate or permanently increase state taxes owed. As a result, even if we attain profitability, we may be unable to use a material portion of our NOLs and tax credits.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have long-lived assets, which are assessed for impairment whenever events or changes in circumstances indicate that their carrying amount may not be recoverable. In addition, we may never realize the full value of our long</w:t>
        <w:noBreakHyphen/>
        <w:t>lived assets, causing us to record material impairment charges.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Under GAAP, we assess our long-lived assets, including property and equipment and lease right-of-use assets, for possible impairment whenever events or circumstances indicate that the carrying amount of such assets may not be recoverable. For example, as a result of the sustained decline in the trading price of our common stock and related market capitalization, our reprioritization of certain research and development programs and our associated reductions in workforce, we performed an impairment assessment of long-lived assets for the year ended December 31, 2024 that resulted in recognition of an impairment of long-lived assets. See Note 5, </w:t>
      </w:r>
      <w:r>
        <w:rPr>
          <w:rFonts w:ascii="Times New Roman;serif" w:hAnsi="Times New Roman;serif"/>
          <w:b w:val="false"/>
          <w:i/>
          <w:color w:val="000000"/>
          <w:sz w:val="20"/>
        </w:rPr>
        <w:t>Impairment of Long-Lived Assets</w:t>
      </w:r>
      <w:r>
        <w:rPr>
          <w:rFonts w:ascii="Times New Roman;serif" w:hAnsi="Times New Roman;serif"/>
          <w:b w:val="false"/>
          <w:color w:val="000000"/>
          <w:sz w:val="20"/>
        </w:rPr>
        <w:t>, in the accompanying notes to our audited consolidated financial statements included in Part II, Item 8, of our 2025 Annual Report for additional information.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 is possible that changes in circumstances, many of which are outside of our control, or in the numerous variables associated with the assumptions and estimates used in assessing the appropriate valuation of our long-lived assets, could in the future result in an impairment to our long-lived assets, requiring us to record impairment charges, which would adversely affect our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If we are unable to successfully develop, manufacture and commercialize product candidates or experience significant delays in doing so, our business may be harmed. </w:t>
      </w:r>
    </w:p>
    <w:p>
      <w:pPr>
        <w:pStyle w:val="TextBody"/>
        <w:bidi w:val="0"/>
        <w:spacing w:lineRule="auto" w:line="288" w:before="120" w:after="283"/>
        <w:ind w:left="0" w:right="0" w:firstLine="720"/>
        <w:jc w:val="left"/>
        <w:rPr/>
      </w:pPr>
      <w:r>
        <w:rPr>
          <w:rFonts w:ascii="Times New Roman;serif" w:hAnsi="Times New Roman;serif"/>
          <w:b w:val="false"/>
          <w:color w:val="000000"/>
          <w:sz w:val="20"/>
        </w:rPr>
        <w:t>We currently have two product candidates in clinical development. Our lead product candidate, ronde-cel, is under evaluation in two pivotal trials: PiNACLE, a single-arm clinical trial that is a seamless expansion of the 3L+ cohort in the Phase 1/2 trial, evaluating ronde-cel in patients with R/R LBCL receiving treatment in the 3L+ setting, and PiNACLE-H2H, a Phase 3 head-to-head CAR T</w:t>
        <w:noBreakHyphen/>
        <w:t>cell therapy randomized controlled trial of ronde-cel for LBCL in the 2L setting that has commenced dosing. LYL273, a novel GCC-targeted CAR T-cell product candidate, is under evaluation in a U.S. Phase 1 dose-escalation, dose-expansion clinical trial in patients with refractory mCRC. We have not yet demonstrated our ability to successfully complete any clinical trials (including any pivotal clinical trials), obtain regulatory approvals, manufacture a commercial</w:t>
        <w:noBreakHyphen/>
        <w:t xml:space="preserve">scale product or arrange for a third party to do so on our behalf, or conduct sales and marketing activities necessary for successful product commercialization, and we have previously discontinued clinical development for other programs. We have invested substantial resources in developing our technologies and our product candidates, conducting nonclinical studies, commencing </w:t>
      </w:r>
      <w:r>
        <w:rPr>
          <w:rFonts w:ascii="Times New Roman;serif" w:hAnsi="Times New Roman;serif"/>
          <w:b w:val="false"/>
          <w:color w:val="000000"/>
          <w:sz w:val="20"/>
          <w:shd w:fill="FFFFFF" w:val="clear"/>
        </w:rPr>
        <w:t xml:space="preserve">and conducting </w:t>
      </w:r>
      <w:r>
        <w:rPr>
          <w:rFonts w:ascii="Times New Roman;serif" w:hAnsi="Times New Roman;serif"/>
          <w:b w:val="false"/>
          <w:color w:val="000000"/>
          <w:sz w:val="20"/>
        </w:rPr>
        <w:t>clinical trials and building our manufacturing facilities and capabilities, each of which will be required prior to any regulatory approval and commercialization. Our ability to generate revenue from product sales, which we do not expect will occur for a few years, if ever, will depend heavily on the successful research and development and eventual commercialization of one or more product candidates in profitable indications and markets. The success of our efforts to identify, develop, manufacture and commercialize product candidates will depend on many factors, including the following: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timely and successful completion of our nonclinical studies and research activities to identify and develop product candidates to investigate in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submission of INDs to the FDA to proceed with clinical trials, or comparable applications to foreign regulatory authorities that allow the commencement of our planned clinical trials for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successful enrollment and completion of clinical trials in compliance with GCP requirements with positive results;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level of efficacy observed with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prevalence and severity of adverse events experienced with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885"/>
                <wp:effectExtent l="0" t="0" r="0" b="0"/>
                <wp:wrapNone/>
                <wp:docPr id="52"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successfully developing, or making arrangements with third parties for, manufacturing and distribution processes for our product candidates and for commercial manufacturing and distribution for any of our product candidates that receive regulatory approval;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receipt of timely regulatory approvals from applicable authorities for our product candidates for their intended uses;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protecting our rights in our intellectual property portfolio, including by obtaining and maintaining patent and trade secret protection and regulatory exclusivity for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establishing capabilities and infrastructure to obtain the materials needed to develop and, if successful, commercialize approved products;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manufacturing our product candidates at an acceptable cost;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launching commercial sales of our products, if approved by applicable regulatory authorities, whether alone or in collaboration with others;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acceptance of our products, if approved by applicable regulatory authorities, by patients and the medical community;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obtaining and maintaining coverage and adequate reimbursement by third-party payors, including government payors, for our products, if approved by applicable regulatory authorities;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developments relating to our competitors and our industry, including any existing or future competing product candidates or therapies, and our ability to effectively compete with other marketed therapies;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maintaining compliance with regulatory requirements, including the U.S and European Union (EU) current Good Manufacturing Practices (cGMP) requirements;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maintaining a continued acceptable benefit/risk profile of our products following approval, if approved by applicable regulatory authorities;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maintaining and growing an organization of scientists and functional experts who can develop and commercialize our products and technology.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do not achieve one or more of these factors in a timely manner or at all, we could experience significant delays or an inability to successfully develop and commercialize our product candidates, which could harm our business. If we do not receive marketing approvals for any product candidate we develop, we may not be able to continue our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product candidates and technologies are based on novel technologies that are unproven and may not result in approvable or marketable products, which expose us to unforeseen risks and make it difficult for us to predict the time and cost of product development and potential for regulatory approval, and we may not be successful in our efforts to use and expand our technologies to develop any product candidate.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seeking to identify and develop a pipeline of product candidates using our proprietary technologies. The scientific research that forms the basis of our efforts to develop product candidates with our technologies is still ongoing. Further, the scientific evidence to support the feasibility of developing therapeutic treatments based on our technologies is both preliminary and limited. Additionally, although ronde</w:t>
        <w:noBreakHyphen/>
        <w:t>cel is in the PiNACLE trial in the 3L+ setting and the PiNACLE-H2H trial in the 2L setting and LYL273 is in Phase 1 clinical development, our current clinical data are limited, and nonclinical data may not translate into humans or may not accurately predict the safety and efficacy of our product candidates in humans. As a result, we are exposed to a number of unforeseen risks, and it is difficult to predict the types of challenges and risks that we may encounter during development of our product candidates. Although we have presented clinical data from the PiNACLE trial in the 3L+ setting and the Phase 1/2 trial of ronde</w:t>
        <w:noBreakHyphen/>
        <w:t>cel, including data from patients with relapsed and/or refractory LBCL, and from the Phase 1 trial of LYL273 in patients with refractory mCRC, our clinical trials may not generate similar results or otherwise provide adequate data to demonstrate the efficacy and safety of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Given the novelty of our technologies, we intend to work closely with the FDA and comparable foreign regulatory authorities to perform the requisite scientific analyses and evaluation of our methods to obtain regulatory approval for our product candidates; however, the regulatory pathway with the FDA and comparable foreign regulatory authorities may be more complex and time-consuming relative to other more well-known therapeutics. Even if we obtain human data to support our product candidates, the FDA or comparable foreign regulatory authorities may lack sufficient experience in evaluating the safety and efficacy of our product candidates developed using our technologies, which could result in a longer than expected regulatory review process, increase our expected development costs and delay or prevent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885"/>
                <wp:effectExtent l="0" t="0" r="0" b="0"/>
                <wp:wrapNone/>
                <wp:docPr id="53"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commercialization of our product candidates. The validation process takes time and resources, may require independent third-party analyses and may not be accepted or approved by the FDA and comparable foreign regulatory authorities. There can be no assurance as to the length of clinical development, the number of patients that the FDA or comparable foreign regulatory authorities may require to be enrolled in clinical trials to establish the safety, purity and potency of our product candidates or the acceptability to the FDA or comparable foreign regulatory authorities of data generated in these clinical trials to support marketing approvals. We cannot be certain that our approach will lead to the development of approvable or marketable products, alone or in combination with other therapies.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The results of research, nonclinical studies or earlier clinical trials are not necessarily predictive of future results. If clinical trials of our product candidates fail to produce, or continue to produce, positive results or demonstrate satisfactory safety and efficacy, at the appropriate dose level or at all, we may incur additional costs or experience delays in completing, or ultimately be unable to complete, the development and commercialization of our product candidates.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Success in research, nonclinical studies and early clinical trials does not ensure that later clinical trials will generate similar results and otherwise provide adequate data to demonstrate the efficacy and safety of an investigational product. Clinical trials may show that one or more of our product candidates are not safe or effective, in which event we may need to abandon development of such product candidates. In fact, a number of companies in the biopharmaceutical industry, including those with greater resources and experience than us, have suffered significant setbacks in early- and late-stage clinical trials, even after seeing promising results in earlier nonclinical studies or clinical trials. Thus, even if the results from our initial research, nonclinical activities or early clinical results appear positive, we do not know whether the current PiNACLE trial in the 3L+ setting and PiNACLE-H2H in the 2L setting for ronde-cel or the Phase 1 clinical trial for LYL273 in patients with refractory mCRC or subsequent clinical trials we may conduct will demonstrate adequate efficacy and safety to result in regulatory approval to market ronde-cel or LYL273. Although we presented clinical data from the PiNACLE trial and the Phase 1/2 clinical trial for ronde</w:t>
        <w:noBreakHyphen/>
        <w:t>cel and the Phase 1 clinical trial for LYL273, such results may not be predictive of future results in our ronde</w:t>
        <w:noBreakHyphen/>
        <w:t>cel and LYL273 clinical trials and may change following blinded independent central review of the imaging data.</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final trial results may not be consistent with interim trial results, and results in one indication may not be predictive of results for the same product candidate in another indication. If later-stage clinical trials do not produce favorable results, our ability to achieve regulatory approval for any of our product candidates may be adversely impacted. Even if we believe that we have adequate data to support an application for regulatory approval to market any of our product candidates, the FDA or other regulatory authorities may not agree and may require that we conduct additional clinical trials. Additionally, even if clinical trials show promising early results, clinical trials of the same product candidate in another indication may fail to show similar results, and market acceptance of our product candidate, if approved, may be limited.</w:t>
      </w:r>
    </w:p>
    <w:p>
      <w:pPr>
        <w:pStyle w:val="TextBody"/>
        <w:bidi w:val="0"/>
        <w:spacing w:lineRule="auto" w:line="288" w:before="120" w:after="283"/>
        <w:jc w:val="left"/>
        <w:rPr/>
      </w:pPr>
      <w:r>
        <w:rPr>
          <w:rFonts w:ascii="Times New Roman;serif" w:hAnsi="Times New Roman;serif"/>
          <w:b/>
          <w:i/>
          <w:color w:val="000000"/>
          <w:sz w:val="20"/>
        </w:rPr>
        <w:t>Clinical development involves a lengthy and expensive process with an uncertain outcome.</w:t>
      </w:r>
      <w:r>
        <w:rPr>
          <w:color w:val="000000"/>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have two product candidates in clinical development. Our lead product candidate, ronde</w:t>
        <w:noBreakHyphen/>
        <w:t>cel, is under evaluation in two pivotal trials: PiNACLE, a single-arm clinical trial that is a seamless expansion of the 3L+ cohort in the Phase 1/2 trial, evaluating ronde-cel in patients with R/R LBCL receiving treatment in the 3L+ setting; and PiNACLE-H2H, a Phase 3 head</w:t>
        <w:noBreakHyphen/>
        <w:t>to</w:t>
        <w:noBreakHyphen/>
        <w:t>head CAR T</w:t>
        <w:noBreakHyphen/>
        <w:t>cell therapy randomized controlled trial of ronde</w:t>
        <w:noBreakHyphen/>
        <w:t>cel for LBCL in the 2L setting that has commenced dosing. In addition, LYL273, our novel GCC</w:t>
        <w:noBreakHyphen/>
        <w:t>targeted CAR T</w:t>
        <w:noBreakHyphen/>
        <w:t>cell product candidate for the treatment of mCRC, is currently in Phase 1 clinical development. The risk of failure of our product candidates, or any product candidates we acquire, is high. The clinical trials and manufacturing of our product candidates, or any product candidates we acquire, are, and the manufacturing and marketing of such product candidates, if approved,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nonclinical testing and clinical trials that our product candidates are both safe and effective for use in each target indication. In particular, because our 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clinical testing that will be required for any product candidates we choose to advance is expensive and can take many years to complete, and its outcome is inherently uncertain. The FDA may not clear the IND submissions for any planned clinical trials. Even if cleared by the FDA and initiated, we cannot guarantee that any clinical trials will be conducted as planned or completed on schedule, if at all. Failure can occur at any time during the clinical trial process. Even if our current and planned clinical trials are completed as planned, we cannot be certain that their results will support the safety and effectiveness of our product candidates for their targeted indications or support continued clinical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885"/>
                <wp:effectExtent l="0" t="0" r="0" b="0"/>
                <wp:wrapNone/>
                <wp:docPr id="54"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development of our product candidates. Product candidates in later stages of clinical trials may fail to show the desired safety and efficacy traits despite having progressed through nonclinical and clinical trials.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even if such trials are successfully completed, we cannot guarantee that the FDA or comparable foreign regulatory authorities will interpret the results as we do, and more trials could be required before we submit our product candidates for approval.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date, we have not fully enrolled or completed any clinical trials required for the approval of our product candidates. We may experience delays in initiating, enrolling or conducting our current and planned clinical trials, and we do not know whether clinical trials will begin or enroll patients on time, will need to be redesigned, will achieve expected enrollment rates or will be completed on schedule, if at all. Our inability to successfully manufacture cell product candidates for enrolled patients or to obtain sufficient amounts of specific reagents and raw materials to manufacture product candidates in a timely manner or at all could delay or preclude our ability to execute and complete the clinical trials. There can be no assurance that the FDA or comparable foreign regulatory authorities will not put clinical trials of any of our product candidates on clinical hold in the future. Clinical trials can be delayed, suspended or terminated for a variety of reasons, including in connection with:</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inability to generate sufficient nonclinical, toxicology or other in vivo or in vitro data to support the initiation of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delays in sufficiently developing, characterizing or controlling a manufacturing process suitable for advanced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delays in reaching agreement with the FDA or other regulatory authorities, including comparable foreign regulatory authorities, as to the design or implementation of our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obtaining regulatory authorization to commence a clinical trial;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 in our strategy, such as our prioritization of our ronde-cel and LYL273 product candidates and discontinuation in 2024 of our LYL797, LYL845 and LYL119 programs;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reaching an agreement on acceptable terms with clinical trial sites or prospective CROs, the terms of which can be subject to extensive negotiation and may vary significantly among different clinical trial sites;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obtaining Institutional Review Board (IRB) approval at each trial site or positive ethics committee opinions;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recruiting suitable patients to participate in our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having patients complete a clinical trial or return for post-treatment follow-up;</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inspections of clinical trial sites or operations by applicable regulatory authorities, or the imposition of a clinical hold;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clinical sites, CROs or other third parties deviating from trial protocol or dropping out of a trial;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failure to perform in accordance with applicable regulatory requirements, including the FDA’s and comparable foreign regulatory authorities’ GCP requirements, or other applicable regulatory requirements;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addressing patient safety concerns that arise during the course of a trial, including occurrence of adverse events associated with the product candidate that are viewed to outweigh its potential benefits;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adding a sufficient number of clinical trial sites;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manufacturing sufficient quantities of product candidates for use in clinical trials; or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suspensions or terminations by IRBs or ethics committees of the institutions at which such trials are being conducted, by the independent Data Safety Monitoring Committee for such trial or by the FDA or other regulatory authorities, including comparable foreign regulatory authorities, due to a number of factors, including those described above.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 a clinical trial may be suspended or terminated by us, the IRBs or ethics committees for the institutions in which such trials are being conducted, recommended for suspension or termination by the independent Data Safety Monitoring Committee for such trial or suspended or terminated by the FDA or other regulatory authorities, including comparable foreign regulatory authorities, due to a number of factors, including failure to conduct the clinical trial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885"/>
                <wp:effectExtent l="0" t="0" r="0" b="0"/>
                <wp:wrapNone/>
                <wp:docPr id="55" name="Frame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accordance with regulatory requirements or our clinical protocols, inspection of the clinical trial operations or trial site by the FDA or other regulatory authorities, including comparable foreign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cannot predict with any certainty whether or when we might complete a given clinical trial, if at all. If we experience delays or quality issues in the conduct, completion or termination of any clinical trial of our product candidates, the approval and commercial prospects of such product candidate will be harmed, and our ability to generate product revenues from such product candidate will be delayed. In addition, any delays in completing our clinical trials will increase our costs, slow down our product candidate development and approval process and jeopardize our ability to commence product sales and generate revenues. Many of the factors that cause, or lead to, a delay in the commencement or completion of clinical trials may ultimately lead to the denial of regulatory approval of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product candidates may cause undesirable side effects or have other properties that could delay or prevent their regulatory approval, limit the commercial profile of an approved label or result in significant negative consequences following any regulatory approval.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authority. As a result of safety or toxicity issues that we may experience in our clinical trials, we may not continue the development of nor receive approval to market any product candidates, which could prevent us from ever generating product revenues or achieving profitability. Previous clinical trials utilizing CAR T cells to treat hematologic malignancies have shown an increased risk of CRS and ICANS, and approved CAR T-cell therapy products carry a boxed warning concerning the risk of developing secondary T</w:t>
        <w:noBreakHyphen/>
        <w:t xml:space="preserve">cell malignancies. For example, while we observed a manageable safety profile appropriate for outpatient administration, initial data from patients with LBCL treated in the 3L+ setting and the 2L setting in our multi-cohort, multi-center Phase 1/2 clinical trial of ronde-cel reported low rates of Grade </w:t>
      </w:r>
      <w:r>
        <w:rPr>
          <w:rFonts w:ascii="Times New Roman;serif" w:hAnsi="Times New Roman;serif"/>
          <w:b w:val="false"/>
          <w:color w:val="000000"/>
          <w:sz w:val="20"/>
          <w:u w:val="single"/>
        </w:rPr>
        <w:t xml:space="preserve">&gt; </w:t>
      </w:r>
      <w:r>
        <w:rPr>
          <w:rFonts w:ascii="Times New Roman;serif" w:hAnsi="Times New Roman;serif"/>
          <w:b w:val="false"/>
          <w:color w:val="000000"/>
          <w:sz w:val="20"/>
        </w:rPr>
        <w:t>3 ICANS. In addition to CRS and ICANS, diarrhea or colitis have been reported with LYL273. Adverse events may also be associated with the lymphodepletion utilized with cell therapies. If additional adverse events or other side effects are observed in any of our clinical trials that are atypical of, or more severe than, the known side effects of similar cell therapies, we may have difficulty recruiting patients to our clinical trials, patients may drop out of our trials or we may be required to abandon those trials or our development efforts of one or more product candidates altogether. If such effects are more severe, less reversible than we expect or not reversible at all, we may decide or be required to perform additional studies or to halt or delay further clinical development of any of our product candidates, which could result in the delay or denial of regulatory approval by the FDA or other regulatory authorities.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event that any of our product candidates receives regulatory approval and we or others later identify undesirable or unacceptable side effects caused by such products, a number of potentially significant negative consequences could result,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regulatory authorities may withdraw or limit approvals of such products and require us to take our approved product off the market;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regulatory authorities may require the addition of labeling statements, specific warnings, a contraindication or field alerts to physicians and pharmacies, or issue other communications containing warnings or other safety information about the product;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regulatory authorities may require a medication guide outlining the risks of such side effects for distribution to patients, or that we implement a risk evaluation and mitigation strategy (REMS) plan or risk management plan to ensure that the benefits of the product outweigh its risks;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be required to change the dose or the way the product is administered, conduct additional clinical trials or change the labeling of the product;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be subject to limitations on how we may promote or manufacture the product;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sales of the product may decrease significantly;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be subject to litigation or product liability claims;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reputation may suffer.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885"/>
                <wp:effectExtent l="0" t="0" r="0" b="0"/>
                <wp:wrapNone/>
                <wp:docPr id="56" name="Frame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of these events could prevent us or our potential future partners from achieving or maintaining market acceptance of the affected product or could substantially increase commercialization costs and expenses, which in turn could delay or prevent us from generating significant revenue from the sale of any products.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Interim, topline or preliminary data from our clinical trials that we announce or publish from time to time may change as more patient data become available or as we make changes to our manufacturing processes and are subject to audit and verification procedures that could result in material changes in the final data.</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may publicly disclose interim, topline or preliminary data from our nonclinical studies and clinical trials, which are based on a preliminary analysis of then-available data, and the results and related findings and conclusions are subject to change following a more comprehensive review of the data related to the particular study or trial, or following, for example, independent blinded central review of imaging data. We also make assumptions, estimations, calculations and conclusions as part of our analyses of data, and we may not have received or had the opportunity to fully and carefully evaluate all data. Further, modifications or improvements to our manufacturing processes for a therapy may result in changes to the characteristics or behavior of the product candidate that could cause our product candidates to perform differently and affect the results of our ongoing clinical trials. As a result, the topline results that we report may differ from future results of the same studies or clinical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may also disclose preliminary or interim data from our nonclinical studies and from our or related third-party clinical trials. Preliminary or interim data from clinical trials are subject to the risk that one or more of the clinical outcomes may materially change as patient enrollment continues and more patient data become available. For example, although we presented clinical data from the PiNACLE trial and the Phase 1/2 trial of ronde</w:t>
        <w:noBreakHyphen/>
        <w:t>cel, including data from patients with relapsed and/or refractory LBCL, our ronde</w:t>
        <w:noBreakHyphen/>
        <w:t>cel clinical trials, including the PiNACLE trial and the PiNACLE-H2H trial, may not generate similar results or otherwise provide adequate data to demonstrate the efficacy and safety of ronde-cel. In addition, the enrollment of additional patients into the ongoing U.S. Phase 1 clinical trial of LYL273 in patients with refractory mCRC may not generate similar results or otherwise provide adequate data to demonstrate the safety and efficacy of LYL273. Adverse differences between preliminary or interim data and final data could significantly harm our business prospects. Additionally, disclosure of preliminary or interim data by us or by our competitors could result in volatility in the price of our common stock.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If the interim, topline or preliminary data we report differ from actual results, or if others, including regulatory authorities, disagree with the conclusions reached, our ability to obtain approval for, and commercialize, any of our potential product candidates may be harmed, which could harm our business, operating results, prospects or financial condition.</w:t>
      </w:r>
    </w:p>
    <w:p>
      <w:pPr>
        <w:pStyle w:val="TextBody"/>
        <w:bidi w:val="0"/>
        <w:spacing w:lineRule="auto" w:line="288" w:before="120" w:after="283"/>
        <w:jc w:val="left"/>
        <w:rPr/>
      </w:pPr>
      <w:r>
        <w:rPr>
          <w:rFonts w:ascii="Times New Roman;serif" w:hAnsi="Times New Roman;serif"/>
          <w:b/>
          <w:i/>
          <w:color w:val="000000"/>
          <w:sz w:val="20"/>
        </w:rPr>
        <w:t>We acquired ImmPACT in October 2024 and LYL273 in November 2025 and may not realize the benefits of such acquisitions or any potential future collaborations, licenses, product acquisitions or other strategic transactions.</w:t>
      </w:r>
      <w:r>
        <w:rPr>
          <w:color w:val="000000"/>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acquired ImmPACT in October 2024 and an exclusive global license, outside of mainland China, Hong Kong, Macau and Taiwan, from ICT for LYL273 in November 2025 with the expectation that these acquisitions will result in various benefits including, among other things, benefits relating to a strengthened market position for Lyell, cost savings and operating efficiencies. Our ability to realize the anticipated benefits of these acquisitions is dependent, in part, on our ability to realize the anticipated cost savings, such as those from the transition of the manufacturing of ronde</w:t>
        <w:noBreakHyphen/>
        <w:t>cel and LYL273 to LyFE. We may also encounter difficulties that could adversely affect our ability to maintain relationships with existing partners and employees, such as: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loss of key employees, including our manufacturing personnel, and associated costs;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disruption of operations and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inability to maintain and increase competitive presence;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possible inconsistencies in standards, control procedures and policies;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inability to complete trials in a manner previously planned or announced (or continue to demonstrate adequate efficacy and safety);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885"/>
                <wp:effectExtent l="0" t="0" r="0" b="0"/>
                <wp:wrapNone/>
                <wp:docPr id="57" name="Frame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additional costs or unexpected problems with manufacturing ronde</w:t>
        <w:noBreakHyphen/>
        <w:t>cel and LYL273 at LyFE, executing clinical trials, loss of key personnel or with the licensed technology; and/or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potential unknown liabilities associated with the ImmPACT and LYL273 acquisitions.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Failure to achieve these anticipated benefits on the anticipated timeframe, or at all, including successfully manufacturing ronde</w:t>
        <w:noBreakHyphen/>
        <w:t>cel and LYL273 at LyFE, could result in a reduction in the market price of our securities as well as in increased costs, decreases in the amount of expected revenues and diversion of management’s time and energy and could materially and adversely affect our business, financial condition and operating results. Additionally, we have made fair value estimates of certain assets and liabilities in recording the ImmPACT acquisition and the exclusive license with ICT. Actual values of these assets and liabilities could differ from our estimates, which could result in our not achieving the anticipated benefits of the acquisition. ImmPACT may have liabilities that we failed or were unable to discover in the course of performing due diligence investigations, or we may not have correctly assessed the significance of certain liabilities of ImmPACT identified in the course of our due diligence. Any such liabilities, individually or in the aggregate, could have an adverse effect on our business, financial condition and results of operations. Finally, any cost savings that are realized may be offset by losses in revenues or other charges to earnings.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also desire to enter into future collaborations, licenses or other strategic transactions for the acquisition of products or business opportunities, where we believe such arrangement will complement or augment our existing business. These relationships or transactions, or those like them, may require us to incur nonrecurring and other charges, increase our near- and long-term expenditures, issue securities that dilute our existing stockholders, reduce the potential profitability of the products that are the subject of the relationship or disrupt our management and business. In addition, we face significant competition in seeking appropriate strategic alliances and transactions and the negotiation process is time-consuming and complex, and there can be no assurance that we can enter into any of these transactions even if we desire to do so. Moreover, we may not be successful in our efforts to establish a strategic alliance or other alternative arrangements for any future product candidates and programs because our research and development pipeline may be insufficient, our product candidates or programs may be deemed to be at too early a stage of development for collaborative effort and third parties may not view our product candidates and programs as having the requisite potential to demonstrate a positive benefit/risk profile. Any delays in entering into new strategic alliance agreements related to our product candidates could also delay the development and commercialization of our product candidates and reduce their competitiveness even if they reach the market.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license products or acquire businesses, we may not be able to realize the benefit of these transactions if we are unable to successfully integrate them with our existing operations and company culture. There are other risks and uncertainties involved in these transactions, including unanticipated liabilities related to acquired intellectual property rights, products or companies and disruption in our relationship with collaborators or suppliers as a result of such a transaction. We cannot be certain that, following an acquisition or license, we will achieve the financial or strategic results that would justify the transaction.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face substantial competition in a rapidly changing industry, which may result in others discovering, developing or commercializing products before or more successfully than we do.</w:t>
      </w:r>
    </w:p>
    <w:p>
      <w:pPr>
        <w:pStyle w:val="TextBody"/>
        <w:bidi w:val="0"/>
        <w:spacing w:lineRule="auto" w:line="288" w:before="120" w:after="283"/>
        <w:ind w:left="0" w:right="0" w:firstLine="720"/>
        <w:jc w:val="left"/>
        <w:rPr/>
      </w:pPr>
      <w:r>
        <w:rPr>
          <w:rFonts w:ascii="Times New Roman;serif" w:hAnsi="Times New Roman;serif"/>
          <w:b w:val="false"/>
          <w:color w:val="000000"/>
          <w:sz w:val="20"/>
          <w:shd w:fill="FFFFFF" w:val="clear"/>
        </w:rPr>
        <w:t xml:space="preserve">The biopharmaceutical industry is highly competitive and subject to significant and rapid technological change. Our success is substantially dependent on our ability to discover, develop and obtain marketing approval for new and innovative products on a cost-effective basis and to market them successfully. </w:t>
      </w:r>
      <w:r>
        <w:rPr>
          <w:rFonts w:ascii="Times New Roman;serif" w:hAnsi="Times New Roman;serif"/>
          <w:b w:val="false"/>
          <w:color w:val="000000"/>
          <w:sz w:val="20"/>
        </w:rPr>
        <w:t xml:space="preserve">We face and will continue to face competition from numerous biopharmaceutical enterprises, as well as from academic institutions, government agencies and private and public research institutions, many of whom have market presence, engineering, technical and marketing capabilities and financial, personnel and other resources substantially greater than ours. </w:t>
      </w:r>
      <w:r>
        <w:rPr>
          <w:rFonts w:ascii="Times New Roman;serif" w:hAnsi="Times New Roman;serif"/>
          <w:b w:val="false"/>
          <w:color w:val="000000"/>
          <w:sz w:val="20"/>
          <w:shd w:fill="FFFFFF" w:val="clear"/>
        </w:rPr>
        <w:t>These organizations may conduct similar research, seek patent protection and establish collaborative arrangements for research, development, manufacturing and marketing of products that compete with our product candidates. Smaller and other early-stage companies may also prove to be significant competitors, particularly through collaborative arrangements with large and established companies. Mergers and acquisitions in the biopharmaceutical industry may result in even more resources, including intellectual property that may be necessary or useful for the development and commercialization of our product candidates, being concentrated in our competitors and becoming unavailable to us on commercially reasonable terms or at all. Competition may increase further as a result of advances in the commercial applicability of technologies and greater availability of capital for investment in this industry</w:t>
      </w:r>
      <w:r>
        <w:rPr>
          <w:rFonts w:ascii="Times New Roman;serif" w:hAnsi="Times New Roman;serif"/>
          <w:b w:val="false"/>
          <w:color w:val="000000"/>
          <w:sz w:val="20"/>
        </w:rPr>
        <w:t>.</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There are currently a number of companies developing or commercializing autologous and allogeneic CAR T-cell therapies, as well as bi- and tri-specific T-cell engager and other approaches to treat hematologic malignancies and solid tumors. Some of the </w:t>
      </w:r>
      <w:r>
        <w:rPr>
          <w:rFonts w:ascii="Times New Roman;serif" w:hAnsi="Times New Roman;serif"/>
          <w:b w:val="false"/>
          <w:color w:val="000000"/>
          <w:sz w:val="20"/>
          <w:shd w:fill="FFFFFF" w:val="clear"/>
        </w:rPr>
        <w:t>approved or commonly used drugs and therapies for our current or future target diseases, including LBCL and colorectal cancer</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are established and are widely accepted by physicians and patients. Insurers and other third–party payors may encourage the use of these products, and some patients may receive commercially available liso</w:t>
        <w:noBreakHyphen/>
        <w:t xml:space="preserve">cel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885"/>
                <wp:effectExtent l="0" t="0" r="0" b="0"/>
                <wp:wrapNone/>
                <wp:docPr id="58" name="Frame4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axi</w:t>
        <w:noBreakHyphen/>
        <w:t>cel rather than enrolling into PiNACLE-H2H, our Phase 3 head-to-head CAR T-cell therapy randomized controlled trial in the 2L setting. Physicians, hospitals and third-party payors often are slow to adopt new products, technologies and treatment practices that require additional upfront costs and training. Physicians may not be willing to undergo training to adopt our novel therapy, may decide the therapy is too complex to adopt without appropriate training or not cost-efficient and may choose not to administer the therapy. Based on these and other factors, hospitals and payors may decide that the benefits of this new therapy do not or will not outweigh its costs and choose other drugs or therapies.</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product candidates, if approved, may be priced at a significant premium over competitive products. Absent differentiated and compelling clinical evidence, pricing premiums may impede the adoption of our products over currently approved or commonly used therapies, which may adversely impact our business. In addition, many companies are developing new therapeutics, and we cannot predict what the standard of care will become as our product candidates continue in clinical development.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ability to enroll clinical trials and/or our commercial opportunities will be reduced or eliminated if our competitors develop and commercialize products that are safer, more effective, have fewer side effects or are less expensive than any products that we may develop. Additionally, our commercial opportunities will be reduced or eliminated if novel upstream products or changes in treatment protocols reduce the overall incidence or prevalence of our current or future target diseases. Competition could result in reduced sales and pricing pressure on our product candidates, if approved by applicable regulatory authorities. In addition, significant delays in the development of our product candidates could allow our competitors to bring products to market before us and impair any ability to commercialize our product candidates. In addition, our potential future collaborators may decide to market and sell products that compete with the product candidates that we have agreed to license to them, which could have a material adverse effect on our future business, financial condition and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are highly dependent on our key personnel and, if we are not successful in attracting and retaining highly qualified personnel, we may not be able to successfully implement our business strategy.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compete in the highly competitive biopharmaceutical industry depends upon our ability to attract and retain highly qualified managerial, scientific and medical personnel. We are highly dependent on our management, manufacturing, scientific and medical personnel. The loss of the services of any of our executive officers, other key employees, including our highly skilled and trained personnel at our manufacturing facilities, and other scientific and medical advisors and our inability to find suitable replacements could result in delays in product development and harm our business. We conduct substantially all of our operations at our facilities in the San Francisco, Seattle and Bothell metropolitan areas. These regions are headquarters to many other biopharmaceutical companies and many academic and research institutions. Competition for skilled personnel in these markets is intense and may limit our ability to hire and retain highly qualified personnel on acceptable terms or at all.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induce valuable employees to remain at our company, in addition to salary and cash incentives, we have provided equity awards that vest over time and, for certain key employees, equity awards that vest subject to certain performance conditions. The value to employees of equity incentives may be significantly affected by factors beyond our control, including market conditions and volatility, and may at any time be insufficient to counteract more lucrative offers from other companies. Because the trading price of our common stock was significantly below the exercise price for many of the options we had granted to our employees, which made the value of our equity as a retention tool decrease substantially, our Board of Directors authorized a repricing of the exercise price of such options for certain employees in November 2023 and additional equity awards for certain employees in October 2025.</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Despite our efforts to retain valuable employees, we may nevertheless experience attrition from members of our management, scientific and development teams. Although we have employment agreements with our key employees, these employment agreements provide for at-will employment, which means that any of our employees could leave our employment at any time, with or without notice. We do not maintain “key man”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we have implemented reductions in workforce in the past few years. If we implement additional reductions in force in the future, these reductions may yield unintended consequences and costs, such as difficulty retaining and motivating remaining employees, increased difficulty in our day-to-day operations and loss of institutional knowledge and expertise and difficulty in attracting and hiring qualified employees in the future. We may also be subject to reputational risks and litigation risks and expenses and may not realize the savings or operational efficiencies anticipated, which could result in total costs and expenses that are greater than expected.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885"/>
                <wp:effectExtent l="0" t="0" r="0" b="0"/>
                <wp:wrapNone/>
                <wp:docPr id="59" name="Frame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we have limited financial and management resources, we have chosen to prioritize our pipeline to focus on our most differentiated product candidates. As such, we are currently primarily focused on the clinical development of ronde-cel and LYL273 and nonclinical research into novel CAR T-cell product candidates with new targets that are fully-armed with multiple technologies, each designed to address different barriers to effective cell therapies, including T-cell exhaustion, lack of durable stemness, as well as immune suppression within the hostile tumor microenvironment. As a result, we may forego or delay pursuit of opportunities with other product candidates or for other indications for these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w:t>
        <w:noBreakHyphen/>
        <w:t>viable products. For example, we discontinued the development of LYL797, LYL845 and LYL119 in 2024 following the acquisition of ronde-cel. Further,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in connection with our discontinuation of LYL797, LYL845 and LYL119 in 2024, we incurred costs associated with termination of agreements associated with these programs, including winding down our agreements with third-party providers and CROs conducting our clinical trials. Termination of these agreements may result in disputes with these service providers that may result in additional costs and liabilities and divert management’s attention and resources, which could harm our business, reputation, overall financial condition and operating results.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currently have no marketing, sales or distribution infrastructure, and we intend to either establish a sales and marketing infrastructure or outsource this function to a third party. Either of these commercialization strategies carries substantial risks to us.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have no marketing, sales or distribution capabilities. To support commercial marketing and distribution of any of our product candidates that are approved, we would either establish a sales and marketing organization with technical expertise and supporting distribution capabilities to commercialize our product candidates in a legally compliant manner or outsource this function to third parties. There are risks involved if we decide to establish our own sales and marketing capabilities or enter into arrangements with third parties to perform these services. To the extent that we enter into collaboration agreements with respect to marketing, sales or distribution, our product revenue may be lower than if we directly marketed or sold any approved products. Such collaborative arrangements with partners may place the commercialization of our products outside of our control and would make us subject to a number of risks, including that we may not be able to control the amount, quality or timing of resources that our collaborative partner devotes to our products or that our collaborator’s willingness or ability to complete its obligations, and our obligations under our arrangements may be adversely affected by business combinations or significant changes in our collaborator’s business strategy.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are unable to enter into these arrangements on acceptable terms or at all, we may not be able to successfully commercialize any approved products. If we are not successful in commercializing any approved products, either on our own or through collaborations with one or more third parties, our future product revenue will suffer, and we may incur significant additional losses, which would have a material adverse effect on our business, financial condition and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If our information technology systems or those of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and other adverse consequences.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and the third parties with whom we work face a variety of evolving threats that could cause security incidents, including but not limited to social-engineering attacks (including through deep fakes, which are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software or hardware failures, loss of data or other information technology assets, adware, attacks enhanced or facilitated by artificial intelligence (AI), natural disasters, fire, terrorism, war, telecommunication and electrical failures and other similar threats. Cyber-attacks, malicious internet-based activity, online and offline fraud and other similar activities threaten the confidentiality, integrity and availability of our sensitive data and information technology systems and those of the third parties upon which we rely. Such threats are prevalent and continue to rise, are increasingly difficult to detect and come from a variety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885"/>
                <wp:effectExtent l="0" t="0" r="0" b="0"/>
                <wp:wrapNone/>
                <wp:docPr id="60" name="Frame5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of sources, including traditional computer “hackers,” threat actors, “hacktivists,” organized criminal threat actors, personnel (such as through theft or misuse), sophisticated nation states and nation-state-supported actors. In particular, severe ransomware attacks are becoming increasingly prevalent and can lead to significant interruptions in our operations, ability to advance our programs, loss of sensitive data, reputational harm and diversion of funds. Extortion payments may alleviate the negative impact of a ransomware attack, but we may be unwilling or unable to make such payments. To the extent that any disruption or security breach results in a loss of or damage to our data or applications or inappropriate disclosure of confidential or proprietary information, we could incur liability, the further development of our product candidates could be delayed and our business could be otherwise adversely affected. It may be difficult and/or costly to detect, investigate, mitigate, contain and remediate a security incident. Threat actors may also gain access to other networks and systems after a compromise of our networks and systems. Furthermore, in connection with our acquisition of ImmPACT, we integrated their information technology systems with ours. Any disruptions to our operations or other similar challenges due to this or other reasons may increase our vulnerability to cybersecurity threats.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reliance on third parties could introduce new cybersecurity risks and vulnerabilities, including supply-chain attacks, and other threats to our business operations. We rely on third-party service providers and technologies to operate critical business systems and to process sensitive data in a variety of contexts, including, without limitation, cloud-based infrastructure, data center facilities, encryption and authentication technology, employee email, clinical research and development and other functions. We also rely on third-party service providers to provide other products, services or otherwise to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material adverse consequences. While we may be entitled to damages if our third-party service providers fail to satisfy their data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While we have implemented security measures designed to protect against security incidents, we cannot ensure that our data protection efforts and our investment in information technology will detect all vulnerabilities on a timely basis, prevent significant breakdowns, data leakages, breaches in our systems or other cyber incidents that could have a material adverse effect upon our reputation, business, operations or financial condition. For example, we have been the target of unsuccessful phishing attempts in the past and expect such attempts will continue in the future. If any of the events referenced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or security breaches could result in the loss, misappropriation and/or unauthorized access, use or disclosure of, or the prevention of access to, confidential information (including trade secrets or other intellectual property, proprietary business information and personal data), which could result in financial, legal, business and reputational harm to us. For example, any such event that leads to unauthorized access, use or disclosure of personal data, including personal data regarding our clinical trial patients or employees, could harm our reputation directly, compel us to comply with potentially costly federal and/or state breach notification laws and foreign law equivalents, subject us to mandatory corrective action, including expending significant resources or modifying our business practices such as our clinical trial activities, and otherwise subject us to liability under laws and regulations that protect the privacy and security of personal data, which could result in significant legal and financial exposure and reputational damages that could potentially have an adverse effect on our business. We take steps designed to detect, mitigate and remediate vulnerabilities in our information systems. However, we may not detect and remediate all such vulnerabilities, including on a timely basis. Further, we have and may in the future experience delays in developing and deploying remedial measures and patches designed to address identified vulnerabilities.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of the previously identified or similar threats may cause a security incident or other interruption that may result in unauthorized, unlawful or accidental acquisition, modification, destruction, loss, alteration, encryption, disclosure of or access to our sensitive information or our information technology systems, or those of the third parties with whom we work. We may need to expend significant resources or modify our business activities (including our clinical trial activities) to try to protect against any security incidents.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certain data privacy and security obligations require us, or we may voluntarily choose, to implement and maintain specific security measures or industry-standard or reasonable security measures to protect our information technology systems and sensitive data or to notify relevant stakeholders, including affected individuals, regulators and investors, of security incidents. Such disclosures are costly, and the disclosure or the failure to comply with such requirements could lead to adverse consequences.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885"/>
                <wp:effectExtent l="0" t="0" r="0" b="0"/>
                <wp:wrapNone/>
                <wp:docPr id="61" name="Frame5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data privacy and security practices, that such coverage will continue to be available on commercially reasonable terms or at all, or that such coverage will pay future claims.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sensitive information could be leaked, disclosed or revealed as a result of or in connection with the use of generative AI technologies by our employees, personnel or vendors.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Any litigation or adversarial proceedings could be costly and time-consuming to defend.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been and may in the future become subject to legal proceedings and claims that arise in the ordinary course of business, such as claims brought by us or third parties in connection with commercial disputes or employment claims made by our current or former employees. Litigation or adversarial proceedings might result in substantial costs and may divert management’s attention and resources, which might seriously harm our business, reputation, overall financial condition and operating results. Insurance might not cover such claims, might not provide sufficient payments to cover all the costs to resolve one or more such claims and might not continue to be available on terms acceptable to us. Any claim brought by us or against us that is uninsured or underinsured could result in unanticipated costs, thereby harming our business.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International trade policies, including tariffs, sanctions and trade barriers, may adversely affect our business, financial condition, results of operations and prospects.*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in a global economy, which includes utilizing third-party suppliers in certain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announced substantial new tariffs affecting a wide range of products and jurisdictions and has indicated an intention to continue developing new trade policies, including with respect to the biopharmaceutical industry. In response, certain foreign governments have announced or implemented retaliatory tariffs and other protectionist measures. Since then, the U.S. government has announced various trade deals and ongoing negotiations with other countries and regions. In addition, the Bureau of Industry and Security, U.S. Department of Commerce, had initiated an investigation and determined that pharmaceutical ingredients, including finished drug product, manufactured outside the United States posed a national security risk and should be subject to additional tariffs. As relevant policies are rapidly evolving, it may be difficult to evaluate their potential future impacts. These developments have created a dynamic and unpredictable trade landscape, which may adversely impact our business, results of operations, financial condition and prospects.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Currently, certain of our suppliers are located outside of the United States. We also rely on specialized laboratory and manufacturing equipment, supplies, materials and precursor compounds, much of which is ultimately sourced from countries outside the United States, to advance our manufacturing and research and development efforts.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Current or future tariffs may result in increased research and development expenses, including with respect to increased costs associated with raw materials, manufacturing equipment, laboratory equipment and research materials and components. In addition, such tariffs may increase our supply chain complexity and could also potentially disrupt our existing supply chain.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supply chains, negatively impacting our growth prospects.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complexity of announced or future tariffs may also increase the risk that we or our future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885"/>
                <wp:effectExtent l="0" t="0" r="0" b="0"/>
                <wp:wrapNone/>
                <wp:docPr id="62" name="Frame5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Related to Manufacturing</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The manufacturing of cell therapies is very complex. We are subject to a multitude of manufacturing risks, any of which could substantially increase our costs, delay our programs or limit supply of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Developing commercially viable manufacturing processes for cell therapies is a difficult and uncertain task and requires significant expertise and capital investment. We are developing and implementing manufacturing processes for our product candidates. In particular, for autologous cell therapies, the starting material is the patient’s own cells, which inherently adds complexity and variability to the manufacturing process. In addition, our ability to consistently and reliably manufacture our cell therapy product candidates is essential to our success, and there are risks associated with scaling to the level required for advanced clinical trials or commercialization, including cost overruns, potential problems with process scale-up, process reproducibility, stability issues, consistency and timely availability of reagents or raw materials. Furthermore, our manufacturing processes may have significant dependencies on third parties, which will pose additional risks to our manufacturing capabilities. Additionally, 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our product candidates. As a result, we may never be able to develop a commercially viable product.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the factors mentioned above, the overall process of manufacturing cell therapies is extremely susceptible to product loss due to low cell viability, contamination, equipment failure or improper installation or operation of equipment, or vendor or operator error. Even minor deviations from normal manufacturing and distribution processes for any of our product candidates could result in reduced production yields, impact to key product quality attributes and other supply disruptions. Product defects can also occur unexpectedly. These deviations and disruptions could delay our programs. If we are not able to capably manage this complexity and variability, our ability to timely and successfully provide our product candidates to patients could be delayed. In addition, the complexities of utilizing a patient’s own cells as the starting material requires that we have suitable cells capable of yielding a viable cell therapy product, which may not be possible for severely immune-compromised or heavily pre-treated patients.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process of successfully manufacturing products for clinical testing and commercialization may be particularly challenging, even if such products otherwise prove to be safe and effective. The manufacture of these product candidates involves complex processes. Some of these processes require specialized equipment and highly skilled and trained personnel, for which there is significant competition. The loss of such manufacturing personnel, including as a result of the reduction of our workforce that supported the Los Angeles manufacturing facility that we closed in 2025, may result in the loss of institutional knowledge and expertise and delays in our manufacturing processes, which may harm our business and financial condition. We may also incur additional costs and expenses related to the recruitment of replacement personnel.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process of manufacturing these product candidates will be susceptible to additional risks, given the need to maintain aseptic conditions throughout the manufacturing process. Contamination with microbes, viruses or other pathogens in either the donor material or materials utilized in the manufacturing process or ingress of microbiological material at any point in the process may result in contaminated, unusable product or necessitate the closing of a manufacturing facility for an extended period of time to allow us to investigate and remedy the contamination. These types of contaminations could result in delays in the manufacture of products, which could result in delays in the development of our product candidates. These contaminations could also increase the risk of adverse side effects.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adverse developments affecting manufacturing operations for our product candidates may result in lot failures, inventory shortages, shipment delays, product withdrawals or recalls or other interruptions in supply that could delay the development of our product candidates. If we are unable to obtain sufficient supply of our product candidates, whether due to production shortages or other supply interruptions, our clinical trials or regulatory approvals may be delayed. We may also have to write off inventory, incur other charges and expenses for supply of product that fails to meet specifications, undertake costly remediation efforts or seek more costly manufacturing alternatives. In addition, parts of the supply chain may have long lead times or may come from a small number of suppliers. If we are not able to appropriately manage our supply chain, our ability to successfully produce our product candidates could be delayed or harmed. Inability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885"/>
                <wp:effectExtent l="0" t="0" r="0" b="0"/>
                <wp:wrapNone/>
                <wp:docPr id="63" name="Frame5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meet the demand for our product candidates could damage our reputation and the reputation of our products among physicians, healthcare payors, patients or the medical community that supports our product development efforts, including hospitals and outpatient clinics. Furthermore, the manufacturing facilities in which our product candidates will be made could be adversely affected by earthquakes or fires and other natural disasters, equipment failures, labor shortages, power failures, health epidemics and numerous other factors. If any of these events were to occur and impact our manufacturing facilities, our business would be materially and adversely affected.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Cell-based therapies rely on the availability of specialty raw materials, which may not be available to us on acceptable terms or at all.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product candidates require many specialty raw materials. As a result, we may be required to outsource aspects of our manufacturing supply chain. Many of the specialty raw materials may be manufactured by small companies with limited resources and experience to support a commercial product, and the suppliers may not be able to deliver raw materials to our specifications. In such case, identifying and engaging an alternative supplier or manufacturer could result in delay, and we may not be able to find other acceptable suppliers or manufacturers on acceptable terms, or at all. Switching suppliers or manufacturers may involve substantial costs and is likely to result in a delay in our desired clinical and commercial timelines. If we change suppliers or manufacturers for commercial production, applicable regulatory agencies may require us to conduct additional studies or trials. If key suppliers or manufacturers are lost, or if the supply of the materials is diminished or discontinued, we may not be able to develop, manufacture and market our product candidates in a timely and competitive manner, or at all.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those suppliers may not have the capacity to support commercial products manufactured by biopharmaceutical firms. The suppliers may be ill-equipped to support our needs, especially in non-routine circumstances like an FDA or comparable foreign regulatory authority inspection, or medical crises such as widespread contamination. We may not be able to contract with these companies on acceptable terms or at all. Accordingly, we may experience delays in receiving key raw materials to support clinical or commercial manufacturing. In addition, some raw materials are currently available from a single supplier, or a small number of suppliers. We cannot be sure that these suppliers will remain in business, or that they will not be purchased by one of our competitors or another company that is not interested in continuing to produce these materials for our intended purpose. These factors could cause the delay of studies or trials, regulatory submissions, required approvals or commercialization of product candidates that we develop, cause us to incur higher costs and prevent us from commercializing our product candidates successfully.</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currently manufacture drug products for our clinical trials ourselves. Delays in further qualifying or in receiving regulatory approvals for any manufacturing facility or product candidates, or in expanding our manufacturing capacity, could delay our development plans and thereby limit our ability to generate product revenues.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built our own manufacturing facility, LyFE, in Bothell, Washington. This facility is designed to support the production of nonclinical and clinical development product candidates and early commercialization of products, and ongoing facility and equipment qualification to support clinical production is required. If we are not able to further qualify our existing facility or the appropriate regulatory approvals for the facility are delayed, or if we are unable to otherwise expand our manufacturing capacity, including for LYL273, which we acquired through an exclusive license in November 2025 and for which we intend to transition manufacturing to LyFE, we may be unable to manufacture sufficient quantities of our product candidates, if at all, which would limit our development activities and our opportunities for growth. If LyFE fails to have sufficient capacity to provide drug supply for our ongoing and planned trials and through potential commercial launch, our business and financial condition may be significantly harmed, and we may incur significant additional costs and delays related to the development of our product candidates. If we fail to adequately transition manufacturing of LYL273 to LyFE or fail to qualify LyFE for additional production, our business and financial condition may be significantly harmed, and we may incur significant additional costs and delays related to the development of LYL273.</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our manufacturing facilities will be subject to ongoing, periodic inspection by the FDA, competent authorities of EU Member States and other comparable regulatory authorities to ensure compliance with cGMPs and current Good Tissue Practices (cGTPs). Our failure to follow and document our adherence to these regulations or other regulatory requirements may lead to significant delays in the availability of products for clinical or, in the future, commercial use. This may result in the modification or termination of or a hold on a clinical trial or may delay or prevent filing or approval of commercial marketing applications for our product candidates. We also may encounter problems with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885"/>
                <wp:effectExtent l="0" t="0" r="0" b="0"/>
                <wp:wrapNone/>
                <wp:docPr id="64" name="Frame5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achieving adequate or clinical-grade materials that meet regulatory authority standards or specifications with consistent and acceptable production yield and costs;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maintaining continuity among our key manufacturing-related electronic systems;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shortages of qualified personnel, raw materials or key contractors;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ongoing compliance with cGMP regulations and other requirements of the FDA, the EU or other competent regulatory authorities.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Failure to comply with applicable regulations could also result in sanctions being imposed on us, including fines, injunctions, civil and/or criminal penalties, a requirement to terminate, vary, suspend or put on hold one or more of our clinical trials, failure of regulatory authorities to grant marketing approval of our product candidates, delays, suspension, variation or withdrawal of approvals, license suspension or revocation, labelling restrictions or requirements in an approved label, seizures or recalls of product candidates or approved products, total or partial suspension of production, distribution, manufacturing or clinical trials, operating restrictions and criminal prosecutions, any of which could harm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Developing advanced manufacturing techniques and process controls is required to fully utilize our facilities. Without further investment, advances in manufacturing techniques may render our facilities and equipment inadequate or obsolete. We may also require further investment to build additional manufacturing facilities or expand the capacity of our existing ones.</w:t>
      </w:r>
    </w:p>
    <w:p>
      <w:pPr>
        <w:pStyle w:val="TextBody"/>
        <w:bidi w:val="0"/>
        <w:spacing w:lineRule="auto" w:line="288" w:before="120" w:after="283"/>
        <w:jc w:val="left"/>
        <w:rPr/>
      </w:pPr>
      <w:r>
        <w:rPr>
          <w:rFonts w:ascii="Times New Roman;serif" w:hAnsi="Times New Roman;serif"/>
          <w:b/>
          <w:i/>
          <w:color w:val="000000"/>
          <w:sz w:val="20"/>
        </w:rPr>
        <w:t>If our clinical manufacturing facility in Bothell, Washington or any of our potential contract manufacturing organizations is damaged or destroyed or production at these facilities is otherwise interrupted, our business would be negatively affected.</w:t>
      </w:r>
      <w:r>
        <w:rPr>
          <w:color w:val="000000"/>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operate a manufacturing facility in Bothell, Washington and may rely on potential third-party contract manufacturing organizations to meet our current and future manufacturing needs. If our manufacturing facilities or any facility in our manufacturing network, or the equipment in these facilities, is either damaged or destroyed or otherwise adversely affected by earthquakes or fires and other natural disasters, equipment failures, labor shortages, power failures, health epidemics or other factors, we may not be able to quickly or inexpensively replace our manufacturing capacity, if at all, and our business would be materially and adversely affected. In the event of a temporary or protracted loss of a facility or its equipment, we may not be able to transfer manufacturing to a third party in the time required to maintain supply. Even if we are able to transfer manufacturing to a third party, the shift would likely be expensive and time-consuming, particularly since the new facility would need to comply with the necessary regulatory requirements or may require regulatory approval before selling any products manufactured at that facility. Such an event could substantially delay our clinical trials or commercialization of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Currently, we maintain insurance coverage against damage to our properties and to cover business interruption and research and development restoration expenses. However, our insurance coverage may not reimburse us, or may not be sufficient to reimburse us, for any expenses or losses we may suffer. We may be unable to meet our requirements for our product candidates if there were a catastrophic event or failure of our current manufacturing facilities or processes.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may rely on third parties to manufacture our product candidates, which could subject us to risks and delay or prevent our development and/or commercialization, if approved, of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rely on third parties to manufacture our current or future product candidates. We may be unable to identify manufacturers for our product candidates or the materials required to develop the cell therapy on acceptable terms or at all because the number of potential manufacturers is limited. We regularly evaluate third</w:t>
        <w:noBreakHyphen/>
        <w:t>party manufacturing options as part of an overall CAR T-cell manufacturing strategy to build scale and reduce cost. Utilizing a third-party cGMP manufacturer will require the transfer and testing of manufacturing and analytical methods to demonstrate substantially equivalent processes and performance for regulatory filings and interactions as required. Such potential third-party manufacturers may be unable to timely formulate and manufacture our product or produce the quantity and quality required to meet our clinical and commercial needs, if any.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the facilities used by manufacturers are subject to ongoing periodic unannounced inspections by the FDA and corresponding state agencies and comparable foreign regulatory authorities to ensure strict compliance with government regulations and corresponding foreign standards. Despite our efforts to audit and verify regulatory compliance, third-party manufacturers may be found on regulatory inspection by the FDA or comparable foreign regulatory authorities to be noncompliant with cGMP regulations and requirements in relation to the manufacture of our product candidates. If our contract manufacturers cannot successfully manufacture material that conforms to our specifications and the strict regulatory requirements of the FDA or comparable foreign regulatory authorities, we will not be able to obtain and/or maintain regulatory approval for our product candidates manufactured in these facilities. In addition, we have limited control over the ability of our third-party manufacturers to maintain adequate control, quality assurance and qualified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2885"/>
                <wp:effectExtent l="0" t="0" r="0" b="0"/>
                <wp:wrapNone/>
                <wp:docPr id="65" name="Frame5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personnel required to meet our clinical and commercial needs, if any. If the FDA or a comparable foreign regulatory authority does not approve the manufacture of our product candidates at these facilities or if it withdraws any such approval in the future, we may need to find alternative manufacturing facilities, which would significantly impact our ability to develop, obtain regulatory approval for or market our product candidates, if approved. In addition, any failure to achieve and maintain compliance with these laws, regulations and standards could subject us to the risk that we may have to suspend the manufacturing of our product candidates or that any approvals we have obtained could be revoked, which would adversely affect our business and reputation. Moreover, noncompliance with cGMP regulations or requirements may result in shutdown of the third-party vendor or invalidation of drug product lots or processes. In some cases, a product recall may be warranted or required, which would materially affect our ability to supply and market our products.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not own, or may have to share, the intellectual property rights to any improvements made by our third-party manufacturers in the manufacturing process for our products. Also, our third-party manufacturers could breach or terminate their agreements with us because of their own financial difficulties or business priorities at a time that is costly or otherwise inconvenient for us. If we were unable to find adequate replacement or another acceptable solution in time, our clinical trials could be delayed or our commercial activities could be harmed.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Related to Our Dependence on Third Parties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rely on third parties to assist in conducting and monitoring our clinical trials and for some of our research and nonclinical studies for our product candidates, and, if those third parties do not successfully carry out their contractual duties, comply with regulatory requirements or otherwise perform satisfactorily, we may not be able to obtain regulatory approval or commercialize product candidates, or such approval or commercialization may be delayed, and our business may be substantially harmed.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rely on medical institutions, clinical investigators, contract laboratories and other third parties, such as CROs, to help conduct GCP-compliant clinical trials on our product candidates properly and on time. For example, we are relying on CROs to assist us in conducting our ronde-cel clinical trials, including the PiNACLE trial in the 3L+ setting and the PiNACLE-H2H trial in the 2L setting and in the conduct of the ongoing U.S. Phase 1 clinical trial for LYL273. Negotiating budgets and contracts with CROs and clinical sites may result in delays to our development timelines and increased costs. Switching or adding CROs involves substantial cost and requires management time and focus. In addition, there is a natural transition period when a new CRO commences work. As a result, delays occur, which can materially impact our ability to meet our desired clinical development timelines. There can be no assurance that we will not encounter challenges or delays in the future or that these delays or challenges will not have a material adverse impact on our business, financial condition and prospects.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any third parties conducting our clinical trials or nonclinical studies will not be our employees, and, except for remedies available to us under our agreements with such third parties, we cannot control whether or not they devote sufficient time and resources to our programs. If these third parties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our clinical trials or nonclinical studies may be extended, delayed or terminated, and we may not be able to obtain regulatory approval or successfully commercialize our product candidates. Consequently, our results of operations and the commercial prospects for our product candidates would be harmed, our costs could increase substantially and our ability to generate revenue could be delayed significantly.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rely on these parties for execution of our nonclinical studies and clinical trials, and generally do not control their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and comparable foreign regulatory authorities require us to comply with standards, commonly referred to as GCPs, for conducting, recording and reporting the results of clinical trials to assure that data and reported results are credible and accurate and that the rights, integrity and confidentiality of trial participants are protected. If we or any of our CROs or other third parties, including our clinical investigators,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applicable GCPs. In addition, our clinical trials must be conducted with product produced under cGMP conditions. The failure by us or third parties engaged by us to comply with these regulations and requirements may require us to add patients to or repeat clinical trials, which would delay the regulatory approval process. Moreover, our business may be implicated if any of these third parties violates federal, state or foreign fraud and abuse or false claims laws and regulations or healthcare privacy and security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2885"/>
                <wp:effectExtent l="0" t="0" r="0" b="0"/>
                <wp:wrapNone/>
                <wp:docPr id="66" name="Frame5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any of our relationships with the third parties that we currently use or that we may use in the future terminates, we may not be able to enter into arrangements with alternative third parties or do so on commercially reasonable terms. As a result, delays occur, which can materially impact our ability to meet desired research and clinical development timelines.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depend on the enrollment and retention of patients in our current and planned clinical trials for our product candidates. If we experience delays or difficulties enrolling or retaining patients in our clinical trials, our research and development efforts and business, financial condition, and results of operations could be materially adversely affected.</w:t>
      </w:r>
    </w:p>
    <w:p>
      <w:pPr>
        <w:pStyle w:val="TextBody"/>
        <w:bidi w:val="0"/>
        <w:spacing w:lineRule="auto" w:line="288" w:before="120" w:after="283"/>
        <w:ind w:left="0" w:right="0" w:firstLine="720"/>
        <w:jc w:val="left"/>
        <w:rPr/>
      </w:pPr>
      <w:r>
        <w:rPr>
          <w:rFonts w:ascii="Times New Roman;serif" w:hAnsi="Times New Roman;serif"/>
          <w:b w:val="false"/>
          <w:color w:val="000000"/>
          <w:sz w:val="20"/>
        </w:rPr>
        <w:t>Successful and timely completion of clinical trials require that we enroll and retain a sufficient number of trial participants. Any clinical trials we conduct may be subject to delays for a variety of reasons, including as a result of patient enrollment taking longer than anticipated, manufacturing failures resulting in patients being unable to be treated, patient withdrawal or adverse events.</w:t>
      </w:r>
      <w:r>
        <w:rPr>
          <w:color w:val="000000"/>
        </w:rPr>
        <w:t xml:space="preserve"> </w:t>
      </w:r>
      <w:r>
        <w:rPr>
          <w:rFonts w:ascii="Times New Roman;serif" w:hAnsi="Times New Roman;serif"/>
          <w:b w:val="false"/>
          <w:color w:val="000000"/>
          <w:sz w:val="20"/>
        </w:rPr>
        <w:t xml:space="preserve">These types of developments have in the past, and could in the future, cause us to delay a trial or halt further development.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clinical trials compete with other clinical trials that are in the same therapeutic areas as our product candidates, and this competition reduces the number and types of patients available to be treated with ronde</w:t>
        <w:noBreakHyphen/>
        <w:t>cel or LYL273 in our trials, as some patients might choose to enroll in a trial conducted by one of our competitors or, in the case of ronde-cel, to receive treatment with the commercially available CD19 CAR T-cell therapies, liso-cel or axi-cel, outside of our trials. There are currently a number of companies with approved and investigational CAR T</w:t>
        <w:noBreakHyphen/>
        <w:t>cell therapies and bispecific T-cell engagers in our therapeutic areas, which could further limit the number of potential patients available to us. We may also encounter additional challenges and slower than anticipated enrollment in our clinical trials if more of our competitors obtain FDA approval before us in the same therapeutic areas as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enrolling patients in clinical trials for diseases in which there is an approved standard of care is challenging, as patients will first receive the applicable standard of care. Many patients who respond positively to the standard of care do not enroll in clinical trials. This may limit the number of eligible patients able to enroll in our clinical trials who have the potential to benefit from our product candidates and could extend development timelines or increase costs for these programs. Patients who fail to respond positively to the standard of care treatment will be eligible for clinical trials of unapproved drug candidates. However, these prior treatment regimens may render our therapies less effective in clinical trials.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the number of qualified clinical investigators and clinical trial sites is limited, we expect to conduct some of our clinical trials at the same clinical trial sites that some of our competitors use, which will reduce the number of patients who are available for our clinical trials at such clinical trial sites.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experience delays in enrollment in our current and planned clinical trials due to factors outside our control. For example, some patients may not be able to comply with clinical trial protocols due to lack of healthcare support or potential interruptions of healthcare services. Our ability to recruit and retain patients, principal investigators and site staff may also be hindered, which would adversely affect our trial operations.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Patient enrollment depends on many additional factors,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size and nature of the patient population;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severity of the disease under investigation;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eligibility criteria for the trial;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proximity of patients to clinical sites;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design of the clinical protocol;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ability to obtain and maintain patient consents;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perceived risks and benefits of the product candidate under evaluation, including any perceived risks associated with genetically modified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ability to recruit clinical trial investigators with the appropriate competencies and experience;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risk that patients enrolled in clinical trials will drop out of the trials before the administration of our product candidates or trial completion;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availability of competing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availability of new drugs approved for the indication that the clinical trial is investigating;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clinicians’ and patients’ perceptions as to the potential advantages of the drug being studied in relation to other available approved or investigational therapies.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22885"/>
                <wp:effectExtent l="0" t="0" r="0" b="0"/>
                <wp:wrapNone/>
                <wp:docPr id="67" name="Frame5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factors may make it difficult for us to enroll enough patients to complete our clinical trials in a timely and cost-effective manner. Delays in the completion of any clinical trial of our product candidates will increase our costs, slow down our product candidate development and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do and will continue to or intend to rely on outside scientists and clinical trial investigators and their third-party research institutions for research and development and clinical testing of our product candidates. These scientists, investigators and institutions may have other commitments or conflicts of interest, which could limit our access to their expertise and harm our ability to leverage our technologies.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rely on our third-party research institution collaborators for some research capabilities. However, the research we are funding constitutes only a small portion of the overall research of each research institution. Other research being conducted by these institutions may at times receive higher priority than research on the programs we are funding. We typically have less control of the research, clinical trial protocols and patient enrollment than we might with activity led by our employees.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clinical trial investigators and study teams and outside scientists who conduct the research and development upon which portions of our product candidate regulatory submissions depend are not our employees; rather, they serve as either independent contractors or the primary investigators under research collaboration agreements that we have with their sponsoring academic or research institutions. Such investigators, study staff, scientists and collaborators may have other commitments that would limit their availability to us. Although our scientific advisors generally agree not to do competing work, if an actual or potential conflict of interest between their work for us and their work for another entity arises, we may lose their services. These factors could adversely affect the timing of our clinical trials, the timing of receipt and reporting of clinical data, the timing of our U.S. regulatory submissions and comparable foreign applications and our ability to conduct our current and planned clinical trials. It is also possible that some of our valuable proprietary knowledge may become publicly known through these clinical investigators and study staff or scientific advisors if they breach their confidentiality agreements with us, which would cause competitive harm to, and have an adverse effect on, our business.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have in the past, and we may in the future, form or seek collaborations or strategic alliances or enter into additional licensing arrangements, and we may not realize the benefits of such alliances or licensing arrangements.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entered into research and development collaborations in the past, and may in the future, enter into additional license and collaboration arrangements. Any license agreement, collaboration arrangement or strategic alliance that we enter into is subject to numerous risks, which may include the following: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collaborator has significant discretion in determining the efforts and resources that they will apply to a program or product candidate under the collaboration;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collaborator may not pursue development and commercialization of our product candidates or may elect not to continue or renew development or commercialization programs based on clinical trial results, changes in their strategic focus due to the acquisition of competitive products or other reasons, availability of funding or other external factors, such as a business combination that diverts resources or creates competing priorities;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collaborator may delay or halt clinical trials, provide insufficient funding for a clinical trial, preferentially enroll patients on a portion of a clinical trial not testing our product candidates, stop a clinical trial, abandon a product candidate, repeat or conduct new clinical trials, or require a new formulation of a product candidate for clinical testing;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collaborator could independently develop, or develop with third parties, products that compete directly or indirectly with our products or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collaborator may not commit sufficient resources to marketing and distribution of our products;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collaborator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disputes may arise between us and the collaborator that cause the delay or termination of the research, development or commercialization of our product candidates, or that result in costly litigation or arbitration that diverts management attention and resources;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collaboration may be terminated and, if terminated, may result in a need for additional capital to pursue further development or commercialization of the applicable product candidates;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22885"/>
                <wp:effectExtent l="0" t="0" r="0" b="0"/>
                <wp:wrapNone/>
                <wp:docPr id="68" name="Frame5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collaborator may own or co-own intellectual property covering our product candidates that results from our collaborating with them, and in such cases, we would not have the exclusive right to commercialize such intellectual property.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particular, failure by any collaborator to meet its obligations under our collaboration agreements or to apply sufficient efforts at developing and commercializing collaboration products may adversely affect our business, financial condition and our results of operations.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form or seek further strategic alliances, create joint ventures or collaborations, or enter into additional licensing arrangements with third parties that we believe will complement or augment our development and commercialization efforts with respect to our product candidates, our research and any future product candidates that we may pursue. Such alliances will be subject to many of the risks set forth above. Moreover, 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of these risks, we may not be able to realize the benefit of our existing collaboration or any future collaborations or licensing agreements we may enter into. Any delays in entering into new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Related to Regulation and Legal Compliance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are currently in clinical development of our product candidates, and our future success is dependent on the successful development and regulatory approval of our product candidates and any product candidates we acquire.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have no products approved for commercial sale and two product candidates in clinical development. Our lead product candidate, ronde</w:t>
        <w:noBreakHyphen/>
        <w:t>cel, is under evaluation in two pivotal trials: PiNACLE, a single-arm clinical trial that is a seamless expansion of the 3L+ cohort in the Phase 1/2 trial, evaluating ronde-cel in patients with R/R LBCL receiving treatment in the 3L+ setting; and PiNACLE-H2H, a Phase 3 head</w:t>
        <w:noBreakHyphen/>
        <w:t>to</w:t>
        <w:noBreakHyphen/>
        <w:t>head CAR T</w:t>
        <w:noBreakHyphen/>
        <w:t>cell therapy randomized controlled trial of ronde</w:t>
        <w:noBreakHyphen/>
        <w:t>cel for LBCL in the 2L setting that has commenced dosing. In addition, LYL273, our novel GCC</w:t>
        <w:noBreakHyphen/>
        <w:t>targeted CAR T</w:t>
        <w:noBreakHyphen/>
        <w:t>cell product candidate for the treatment of mCRC, is currently in Phase 1 clinical development. The future success of our business is substantially dependent on our ability to obtain regulatory approval for our product candidates, and any product candidates we acquire, for the indications we seek, and, if approved, to successfully commercialize one or more product candidates in a timely manner. Each of our programs and product candidates will require clinical development, regulatory approval, obtaining manufacturing supply, capacity and expertise, building a commercial organization or successfully outsourcing commercialization, substantial investment and significant marketing efforts before we generate any revenue from product sales. We do not have any products that are approved for commercial sale, and we may never be able to develop or commercialize marketable products.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cannot commercialize product candidates in the United States without first obtaining regulatory approval for the product from the FDA; similarly, we cannot commercialize product candidates outside of the United States without obtaining regulatory approval from comparable foreign regulatory authorities. Before obtaining regulatory approvals for the commercial sale of any product candidate for a target indication, we must demonstrate with substantial evidence from well-controlled clinical trials, and to the satisfaction of the FDA and comparable foreign regulatory authorities, that the product candidate is safe, pure and potent for use for that target indication and that the manufacturing facilities, processes and controls are adequate with respect to such product candidate to assure safety, purity and potency.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time required to obtain approval by the FDA and comparable foreign regulatory authorities is unpredictable but typically takes many years following the commencement of nonclinical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future product candidates will ever obtain regulatory approval. Furthermore, the regulatory approval process for novel product candidates, such as T-cell product candidates and next-generation T-cell programs, can be more complex and consequently more expensive and take longer than for other, better known or extensively studied pharmaceutical or other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Even if a product candidate were to successfully obtain approval from the FDA and comparable foreign regulatory authorities, any approval might contain significant limitations related to use restrictions for specified age groups, warnings, precautions or contraindications, or may be subject to burdensome post-approval study or risk management requirements. If we are unable to obtain regulatory approval for one of our product candidates in one or more jurisdictions, or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22885"/>
                <wp:effectExtent l="0" t="0" r="0" b="0"/>
                <wp:wrapNone/>
                <wp:docPr id="69" name="Frame6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approval contains significant limitations, we may not be able to obtain sufficient funding to continue the development of that product or generate revenues attributable to that product candidate. Also, any regulatory approval of our current or future product candidates, once obtained, may be withdrawn.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cell therapy product candidates represent new therapeutic approaches that could result in heightened regulatory scrutiny, delays in clinical development or delays in our ability to achieve regulatory approval, commercialization or payor coverage of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future success is dependent on the successful development of our cell therapies in general and our development of product candidates, in particular. Because some of these programs, such as LYL273 in development for mCRC, represent a new approach to the treatment of cancer, developing and, if approved, commercializing our product candidates subject us to a number of challenges. Moreover, we cannot be sure that the manufacturing processes used in connection with our cell therapy product candidates will yield a sufficient supply of satisfactory products that are safe, pure and potent, scalable or profitable.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oversight by the FDA and by IRBs under guidelines promulgated by the National Institutes of Health (NIH), clinical trials such as those that evaluate T cells expressing a synthetic CAR are also subject to review and oversight by an Institutional Biosafety Committee (IBC).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trials of cell therapies that involve genetic engineering may proceed, the review process and determinations of other reviewing bodies can impede or delay the initiation of a clinical trial, even if the FDA has reviewed the trial and approved its initiation.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Actual or perceived safety issues, including adoption of new therapeutics or novel approaches to treatment, may adversely influence the willingness of patients to participate in clinical trials, or if approved by applicable regulatory authorities, of physicians to subscribe to the novel treatment mechanics. The FDA or other comparable foreign regulatory authorities may ask for specific post-marketing requirements, and additional information informing benefits or risks of our products may emerge at any time prior to or after regulatory approval.</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The FDA and comparable foreign regulatory approval processes are lengthy, time-consuming and inherently unpredictable. If we are not able to obtain required regulatory approvals of our product candidates, our business will be substantially harmed.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the novel nature of our product candidates to create challenges in obtaining regulatory approval. For example, the FDA has limited experience with commercial development of T-cell therapies for cancer. Accordingly, the regulatory approval pathway for our product candidates may be uncertain, complex, expensive and lengthy, and approval may not be obtained.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 to obtaining approval to commercialize any drug product candidate in the United States or abroad, we must demonstrate with substantial evidence from well-controlled clinical trials, and to the satisfaction of the FDA or comparable foreign regulatory authorities, that such product candidates are safe, pure and potent for their intended uses. Results from nonclinical studies and clinical trials can be interpreted in different ways. Even if we believe the nonclinical or clinical data for our product candidates are promising, such data may not be sufficient to support approval by the FDA and other comparable foreign regulatory authorities. The FDA or comparable foreign regulatory authorities may also require us to conduct additional nonclinical studies or clinical trials for our product candidates either prior to or after approval, or it may object to elements of our clinical development programs.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product candidates could fail to receive regulatory approval for many reasons, including the following: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FDA or comparable foreign regulatory authorities may disagree with the design or implementation of our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be unable to demonstrate to the satisfaction of the FDA or comparable foreign regulatory authorities that a product candidate is safe and effective for its proposed indication;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results of clinical trials may not meet the level of statistical significance required by the FDA or comparable foreign regulatory authorities for approval;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be unable to demonstrate that a product candidate’s clinical and other benefits outweigh its safety risks;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FDA or comparable foreign regulatory authorities may fail to approve the manufacturing processes or facilities of third-party manufacturers with which we contract for clinical and commercial supplies;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22885"/>
                <wp:effectExtent l="0" t="0" r="0" b="0"/>
                <wp:wrapNone/>
                <wp:docPr id="70" name="Frame6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approval policies or regulations of the FDA or comparable foreign regulatory authorities may significantly change in a manner rendering our clinical data insufficient for approval.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Of the large number of products in development, only a small percentage successfully complete the FDA or comparable foreign regulatory approval processes and are commercialized. The lengthy approval and marketing authorization process as well as the unpredictability of clinical trial outcomes may result in our failing to obtain regulatory approval and marketing authorization to market our product candidates, which would significantly harm our business, financial condition, results of operations and prospects.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could also encounter delays if physicians experience unresolved ethical issues associated with enrolling patients in clinical trials of our product candidates in lieu of prescribing existing treatments that have established safety and efficacy profiles, including treatments offered by our competitors that have obtained, or may obtain in the future, FDA approval before us in the same therapeutic areas as our product candidates. Moreover,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the marketing application we submit. Any such delay or rejection could prevent or delay us from commercializing our current or future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 Many of the factors that cause, or lead to, a delay in the commencement or completion of clinical trials may ultimately lead to the denial of regulatory approval of our product candidates.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Even if our product candidates obtain regulatory approval,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FDA or a comparable foreign regulatory authority approves any of our product candidates, the manufacturing processes, testing, labeling, packaging, distribution, import, export,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for any clinical trials that we conduct post-approval, all of which may result in significant expense and limit our ability to commercialize such products. In addition,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if approved.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Manufacturers and manufacturers’ facilities are required to comply with extensive FDA and comparable foreign regulatory authority requirements, including ensuring that quality control and manufacturing procedures conform to cGMP regulations and requirements, as well as, for the manufacture of certain of our product candidates, the FDA’s cGTPs for the use of human cellular and tissue products to prevent the introduction, transmission or spread of communicable diseases. As such, we and our contract manufacturers will be subject to continual review and inspections to assess compliance with cGMPs, cGTPs and adherence to commitments made in any approved marketing application. Accordingly, we and others with whom we work must continue to expend time, money and effort in all areas of regulatory compliance, including manufacturing, quality control and distribution.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there are changes in the application of legislation or regulatory policies, or if problems are discovered with a product or our manufacture of a product, or if we or one of our distributors, licensees or co-marketers fails to comply with regulatory requirements, the regulators could take various actions. These include issuing warning letters or untitled letters, imposing fines on us, imposing restrictions on the product or its manufacture and requiring us to recall or remove the product from the market. The regulators could also suspend or withdraw our marketing authorizations, requiring us to conduct additional clinical trials, change our product labeling or submit additional applications for marketing authorization. If any of these events occurs, our ability to sell such product may be impaired, and we may incur substantial additional expense to comply with regulatory requirements, which could materially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22885"/>
                <wp:effectExtent l="0" t="0" r="0" b="0"/>
                <wp:wrapNone/>
                <wp:docPr id="71" name="Frame6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if we have any product candidate approved, our product labeling, advertising and promotion will be subject to regulatory requirements and continuing regulatory review. In the United States, the FDA and the Federal Trade Commission (FTC) strictly regulate the promotional claims that may be made about pharmaceutical products to ensure that any claims about such products are consistent with regulatory approvals, not misleading or false in any particular way and adequately substantiated by clinical data. The promotion of a drug product in a manner that is false, misleading, unsubstantiated or for unapproved (or off-label) uses may result in enforcement letters, inquiries and investigations and civil and criminal sanctions by the FDA, FTC and other regulatory authorities. In particular, a product may not be promoted for uses that are not approved by the FDA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FDA and other agencies and comparable foreign regulatory authorities actively enforce the laws and regulations prohibiting the promotion of off-label uses, and a company that is found to have improperly promoted off-label uses may be subject to significant sanctions and may result in false claims litigation under federal and state statutes, which can lead to consent decrees, civil monetary penalties, restitution, criminal fines and imprisonment, and exclusion from participation in Medicare, Medicaid and other federal and state healthcare programs. The federal government has levied large civil and criminal fines against companies for alleged improper promotion and has enjoined several companies from engaging in off-label promotion. The government has also required that companies enter into consent decrees and/or imposed permanent injunctions under which specified promotional conduct is changed or curtailed. Equivalent requirements and penalties are provided in the EU both at the EU level and at the national level in individual EU Member States.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 regulatory authority discovers previously unknown problems with a product, such as adverse events of unanticipated severity or frequency, or problems with the facility where the product is manufactured, or disagrees with the promotion, marketing or labeling of a product, such regulatory authority may impose restrictions on that product or us, including requiring withdrawal of the product from the market. If we fail to comply with applicable regulatory requirements, a regulatory authority or enforcement authority may, among other things: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issue warning letters;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issue, or require us to issue, safety-related communications, such as safety alerts, field alerts, “Dear Doctor” letters to healthcare professionals, or import alerts;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impose civil or criminal penalties;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suspend, limit, vary or withdraw regulatory approval;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suspend, vary or terminate any of our nonclinical studies and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refuse to approve pending applications or supplements to approved applications submitted by us;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impose restrictions on our operations, including closing our and our contract manufacturers’ facilities; or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seize or detain products, refuse to permit the import or export of products, or require us to conduct a product recall.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approved. If regulatory sanctions are applied or if regulatory approval is withdrawn, the value of our company and our operating results will be adversely affected.</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Moreover, 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Further, the U.S. Supreme Court’s June 2024 decision in </w:t>
      </w:r>
      <w:r>
        <w:rPr>
          <w:rFonts w:ascii="Times New Roman;serif" w:hAnsi="Times New Roman;serif"/>
          <w:b w:val="false"/>
          <w:i/>
          <w:color w:val="000000"/>
          <w:sz w:val="20"/>
        </w:rPr>
        <w:t>Loper Bright Enterprises v. Raimondo</w:t>
      </w:r>
      <w:r>
        <w:rPr>
          <w:color w:val="000000"/>
        </w:rPr>
        <w:t xml:space="preserve"> </w:t>
      </w:r>
      <w:r>
        <w:rPr>
          <w:rFonts w:ascii="Times New Roman;serif" w:hAnsi="Times New Roman;serif"/>
          <w:b w:val="false"/>
          <w:color w:val="000000"/>
          <w:sz w:val="20"/>
        </w:rPr>
        <w:t xml:space="preserve">(Loper) overturned the longstanding </w:t>
      </w:r>
      <w:r>
        <w:rPr>
          <w:rFonts w:ascii="Times New Roman;serif" w:hAnsi="Times New Roman;serif"/>
          <w:b w:val="false"/>
          <w:i/>
          <w:color w:val="000000"/>
          <w:sz w:val="20"/>
        </w:rPr>
        <w:t>Chevron</w:t>
      </w:r>
      <w:r>
        <w:rPr>
          <w:color w:val="000000"/>
        </w:rPr>
        <w:t xml:space="preserve"> </w:t>
      </w:r>
      <w:r>
        <w:rPr>
          <w:rFonts w:ascii="Times New Roman;serif" w:hAnsi="Times New Roman;serif"/>
          <w:b w:val="false"/>
          <w:color w:val="000000"/>
          <w:sz w:val="20"/>
        </w:rPr>
        <w:t xml:space="preserve">doctrine, under which courts were required to give deference to regulatory agencies’ reasonable interpretations of ambiguous federal statutes. The </w:t>
      </w:r>
      <w:r>
        <w:rPr>
          <w:rFonts w:ascii="Times New Roman;serif" w:hAnsi="Times New Roman;serif"/>
          <w:b w:val="false"/>
          <w:i/>
          <w:color w:val="000000"/>
          <w:sz w:val="20"/>
        </w:rPr>
        <w:t xml:space="preserve">Loper </w:t>
      </w:r>
      <w:r>
        <w:rPr>
          <w:rFonts w:ascii="Times New Roman;serif" w:hAnsi="Times New Roman;serif"/>
          <w:b w:val="false"/>
          <w:color w:val="000000"/>
          <w:sz w:val="20"/>
        </w:rPr>
        <w:t>decision could result in additional legal challenges to regulations and guidance issued by federal agencies, including the FDA, on which we rely. Any such legal challenges, if successful, could have a material impact on our business. Additionally, the</w:t>
      </w:r>
      <w:r>
        <w:rPr>
          <w:color w:val="000000"/>
        </w:rPr>
        <w:t xml:space="preserve"> </w:t>
      </w:r>
      <w:r>
        <w:rPr>
          <w:rFonts w:ascii="Times New Roman;serif" w:hAnsi="Times New Roman;serif"/>
          <w:b w:val="false"/>
          <w:i/>
          <w:color w:val="000000"/>
          <w:sz w:val="20"/>
        </w:rPr>
        <w:t>Loper</w:t>
      </w:r>
      <w:r>
        <w:rPr>
          <w:color w:val="000000"/>
        </w:rPr>
        <w:t xml:space="preserve"> </w:t>
      </w:r>
      <w:r>
        <w:rPr>
          <w:rFonts w:ascii="Times New Roman;serif" w:hAnsi="Times New Roman;serif"/>
          <w:b w:val="false"/>
          <w:color w:val="000000"/>
          <w:sz w:val="20"/>
        </w:rPr>
        <w:t xml:space="preserve">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22885"/>
                <wp:effectExtent l="0" t="0" r="0" b="0"/>
                <wp:wrapNone/>
                <wp:docPr id="72" name="Frame6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Ronde-cel has received Fast Track and RMAT designations, and LYL273 has received Fast Track designation, from the FDA, but receipt of such designations or any other designation may not actually lead to a faster development, regulatory review or approval process, and does not assure ultimate FDA approval.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has granted Fast Track and RMAT designations to ronde-cel for the treatment of relapsed and/or refractory aggressive B</w:t>
        <w:noBreakHyphen/>
        <w:t xml:space="preserve">cell lymphoma in the 3L+ settings, RMAT designation to ronde-cel for the treatment of LBCL in the 2L setting and granted Fast Track designation to LYL273 for the treatment of mCRC. We may seek additional designations for our product candidates or for ronde-cel or LYL273 in other indications.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has broad discretion whether or not to grant such special designations, so even if we believe a particular product candidate is eligible or meets the criteria for a particular special designation, we cannot assure you that the FDA would decide to grant it. Even though we have received Fast Track and RMAT designations to develop ronde-cel for the treatment of relapsed and/or refractory aggressive B</w:t>
        <w:noBreakHyphen/>
        <w:t>cell lymphoma in the 3L+ settings, RMAT designation to ronde-cel for the treatment of LBCL in the 2L setting and Fast Track designation to LYL273 for the treatment of mCRC, and even if we receive Fast Track or RMAT designation for other product candidates or indications, we may not experience a faster development process, review or approval compared to conventional FDA procedures, and such designation does not assure ultimate approval by the FDA. In addition, the FDA may withdraw Fast Track and/or RMAT designations if it believes that the designation is no longer supported by data from our clinical development program. Many product candidates that have received special FDA designations have ultimately failed to obtain approval.</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products and decrease our ability to generate revenue.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availability and adequacy of coverage and reimbursement by governmental healthcare programs such as Medicare and Medicaid, private health insurers and other third-party payors are essential for most patients to be able to afford prescription medications such as our product candidates, assuming FDA approval. Our ability to achieve acceptable levels of coverage and reimbursement for products by governmental authorities, private health insurers and other organizations will have an effect on our ability to successfully commercialize our product candidates. Our cell therapies are novel and may require additional education and support to achieve reimbursement, if at all.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Third-party payors often rely upon Medicare coverage policy and payment limitations in setting their own coverage and reimbursement policies. However, decisions regarding the extent of coverage and amount of reimbursement to be provided are made on a payor-by-payor basis. Reimbursement by a third-party payor may depend upon a number of factors, including the third-party payor’s determination that a procedure is safe, effective and medically necessary; appropriate for the specific patient; cost effective; supported by peer-reviewed medical journals; included in clinical practice guidelines; and neither cosmetic, experimental, nor investigational. Assuming we obtain coverage for our product candidates by a third-party payor, the resulting reimbursement payment rates may not be adequate or may require co-payments that patients find unacceptably high. We cannot be sure that coverage and reimbursement in the United States, the EU or elsewhere will be available for our product candidates or any product that we may develop, and any reimbursement that may become available may be decreased or eliminated in the future. Additionally, we or our collaborators may develop companion diagnostic tests for use with our product candidates. We or our collaborators will be required to fulfill applicable regulatory requirements for companion diagnostic testing and to obtain coverage and reimbursement for these tests separate and apart from the coverage and reimbursement we may seek for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Similarly, a significant trend in the healthcare industry is cost containment. Governmental authorities have announced initiatives to control the cost of prescription drugs and third-party payors have attempted to control costs by limiting coverage and the amount of reimbursement for particular medications. In addition, the Department of Health and Human Services (HHS) has been empowered to negotiate the price of certain single-source biologics that have been on the market for at least 11 years covered under Medicare as part of the Medicare Drug Price Negotiation Program. Each year, up to 20 products will be selected by HHS for the Medicare Drug Price Negotiation Program. Products subject to the Medicare Drug Price Negotiation Program are expected to experience a significant reduction in reimbursement from the Medicare program on a per unit basis. In addition, HHS imposes rebates on many Medicare Part B and Medicare Part D products to penalize price increases that outpace inflation on an annual basis. If coverage and adequate reimbursement are not available, or are available only to limited levels, we may not be able to successfully commercialize our current and any future product candidates that we develop, which could have an adverse effect on our operating results and our overall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22885"/>
                <wp:effectExtent l="0" t="0" r="0" b="0"/>
                <wp:wrapNone/>
                <wp:docPr id="73" name="Frame6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financial condition. For additional detail on healthcare reform that may affect our cost containment, see “Healthcare Reform” in Part I, Item 1 of our 2025 Annual Report. As such, cost containment reform efforts may result in an adverse effect on our operations. Obtaining coverage and adequate reimbursement for our product candidates may be particularly difficult because of the higher prices often associated with drugs administered under the supervision of a physician. Similarly, because our product candidates will be physician-administered, separate reimbursement for the product itself may or may not be available. Instead, the administering physician may or may not be reimbursed for providing the treatment or procedure in which our product is used.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Disruptions at the FDA and other government agencies caused by funding shortages, policy changes, workforce reductions or other reasons could hinder their ability to hire, retain or deploy key leadership and other personnel, or otherwise prevent new or modified products from being developed, approved or commercialized in a timely manner or at all, which could negatively impact our business.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The ability of the FDA</w:t>
      </w:r>
      <w:r>
        <w:rPr>
          <w:color w:val="000000"/>
        </w:rPr>
        <w:t xml:space="preserve"> </w:t>
      </w:r>
      <w:r>
        <w:rPr>
          <w:rFonts w:ascii="Times New Roman;serif" w:hAnsi="Times New Roman;serif"/>
          <w:b w:val="false"/>
          <w:color w:val="000000"/>
          <w:sz w:val="20"/>
        </w:rPr>
        <w:t>to review and approve new products can be affected by a variety of factors, including, as applicable, government budget and funding levels, statutory, regulatory and policy changes, workforce reductions, the authority’s ability to hire, train and retain key personnel and accept the payment of user fees and other events that may otherwise affect the authority’s ability to perform routine functions. Average review times at the FDA have fluctuated in recent years as a result. In addition, government funding of the FDA and other government agencies that fund research and development activities is subject to the political process, which is inherently fluid and unpredictable. Disruptions at the FDA and other agencies and authorities, such as the recent large-scale government workforce reductions, may also slow the time necessary for new biologics or modifications to be cleared or approved biologics to be reviewed and/or approved, which would adversely affect our business. Additionally, over the last several years, the U.S. government has shut down several times, and certain regulatory agencies, such as the FDA, have had to furlough FDA employees and stop critical activities.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 prolonged government shutdown occurs, or if the FDA or other regulatory authorities are prevented from conducting their regular inspections, reviews or other regulatory activities for any reason, including due to workforce reductions, it could significantly impact the ability of the FDA or other regulatory authorities to timely review and process our regulatory submissions, which could have a material adverse effect on our business.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may be subject to applicable fraud and abuse, including anti-kickback and false claims, transparency, health information privacy and security and other healthcare laws. Failure to comply with such laws may result in substantial penalties.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be subject to broadly applicable healthcare laws and regulations that may constrain the business or financial arrangements and relationships through which we conduct research, market, sell and distribute any product candidates for which we obtain marketing approval. The healthcare laws that may affect us include: the federal fraud and abuse laws, including the federal anti-kickback, and false claims and civil monetary penalties laws; federal data privacy and security laws, including HIPAA; and federal transparency laws related to ownership and investment interests and payments and/or other transfers of value made to or held by physicians (including doctors, dentists, optometrists, podiatrists and chiropractors), other healthcare professionals (such as physician assistants and nurse practitioners) and teaching hospitals, as well as information regarding ownership and investment interests held by physicians and their immediate family members. In addition, many states have similar laws and regulations that may differ from each other and federal law in significant ways, thus complicating compliance efforts. Moreover, several states require biopharmaceutical companies to comply with the biopharmaceutical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Additionally, some state and local laws require certain regulatory licenses to manufacture or distribute our products in clinical trials or commercially and/or the registration of biopharmaceutical sales representatives in the jurisdiction. Similar requirements are applicable in foreign countries. Outside the United States, interactions between pharmaceutical companies and healthcare professionals are also governed by strict laws, such as national anti-bribery laws of European countries, national sunshine rules, regulations, industry self-regulation codes of conduct and physicians’ codes of professional conduct.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Ensuring that our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were compensated in the form of stock options for consulting services provided,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civil, criminal and administrative penalties, damages, disgorgement, fines, imprisonment, exclusion of products from government funded healthcare programs, such as Medicare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22885"/>
                <wp:effectExtent l="0" t="0" r="0" b="0"/>
                <wp:wrapNone/>
                <wp:docPr id="74" name="Frame6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and Medicaid or comparable foreign programs, additional reporting requirements and/or oversight if a corporate integrity agreement or similar agreement is executed to resolve allegations of non-compliance with these laws and the curtailment or restructuring of operations. In addition, violations may also result in reputational harm, diminished profits and lower future earnings. For additional detail on healthcare laws that may affect our business, see the section entitled “Other Laws” in Part I, Item 1 of our 2025 Annual Report.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are subject to U.S. and certain foreign anti-corruption laws and regulations, export and import controls, sanctions and embargoes. We could face liability and other serious consequences for violations, which can harm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anti-corruption laws and regulations, including the Foreign Corrupt Practices Act (FCPA), the U.S. domestic bribery statute contained in 18 U.S.C. § 201, the U.S. Travel Act and other state and national anti-bribery laws in the countries in which we may conduct activities in the future. Anti-corruption laws are interpreted broadly and generally prohibit companies and their employees, agents, contractors and other third-party collaborators from offering, promising, giving or authorizing others to give anything of value, either directly or indirectly through third parties, to any person in the public or private sector to obtain or retain business. The FCPA also requires public companies to make and keep books and records that accurately and fairly reflect the transactions of the corporation and to devise and maintain an adequate system of internal accounting controls. We may engage third parties to develop or commercialize our product candidates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also subject to export control and import laws and regulations, including the U.S. Export Administration Regulations, U.S. Customs regulations and various economic and trade sanctions regulations administered by the U.S. Treasury Department’s Office of Foreign Assets Controls.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provision of certain products and services to countries, governments and persons targeted by U.S. sanctions.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is no certainty that all of our employees, agents, partners, vendors, contractors or collaborators will comply with all applicable anti-corruption, export and import control and sanctions laws and regulations.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develop or commercialize our product candidates in one or more countries as well as difficulties in manufacturing or continuing to develop our product candidates, and could materially damage our reputation, any international expansion efforts, our ability to attract and retain employees and our business, prospects, operating results and financial condition.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Changes in healthcare policies, laws and regulations may impact our ability to obtain approval for, or commercialize our product candidates, if approved.*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United States and some foreign jurisdictions there have been, and continue to be, several legislative and regulatory changes and proposed reforms of the healthcare system in an effort to contain costs, improve quality and expand access to care. In the United States, there have been and continue to be a number of healthcare-related legislative initiatives, as well as executive, judicial and Congressional challenges and amendments to existing healthcare laws that have significantly affected, and could continue to significantly affect, the healthcare industry. For example, there have been efforts to repeal, substantially modify or invalidate some or all of the provisions of the ACA, some of which have been successful. For example, on July 4, 2025, the One Big Beautiful Bill Act (OBBBA) was signed into law that narrowed access to ACA marketplace exchange enrollment and declined to extend the ACA enhanced advanced premium tax credits that expired at the end of 2025, which, among other provisions in the law, are anticipated to reduce the number of Americans with health insurance. OBBBA also is expected to reduce Medicaid spending and enrollment by implementing work requirements for some beneficiaries, capping state-directed payments, reducing federal funding and limiting provider taxes used to fund the program. Congress is also considering proposed legislation intended to further reduce healthcare costs with alternatives to replace the expired ACA subsidies.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 health reform measures may continue and affect our business in unknown ways, particularly given the change in administration. The current administration is pursuing policies to reduce regulations and expenditures across government, including at HHS, the FDA, the Centers for Medicare &amp; Medicaid Services and related agencies.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22885"/>
                <wp:effectExtent l="0" t="0" r="0" b="0"/>
                <wp:wrapNone/>
                <wp:docPr id="75" name="Frame6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pPr>
      <w:r>
        <w:rPr>
          <w:rFonts w:ascii="Times New Roman;serif" w:hAnsi="Times New Roman;serif"/>
          <w:b w:val="false"/>
          <w:color w:val="000000"/>
          <w:sz w:val="20"/>
        </w:rPr>
        <w:t>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U.S. patients and Medicaid programs prescription drug Most Favored Nation pricing equal to or lower than those paid in other developed nations, with additional mandates for direct-to-patient discounts and repatriation of foreign revenues. These actions and proposals include, for example: (1) reducing agency workforces; (2) directing HHS and other agencies to lower prescription drug costs through a variety of initiatives, including by improving upon the Medicare Drug Price Negotiation Program and establishing Most</w:t>
        <w:noBreakHyphen/>
        <w:t>Favored</w:t>
        <w:noBreakHyphen/>
        <w:t xml:space="preserve">Nation pricing for pharmaceutical products; (3) imposing tariffs on certain imported pharmaceutical products; and (4) as part of the Make America Healthy Again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 Favored Nation pricing, lower government subsidies to private insurance companies, increase healthcare price transparency, expand pharmaceutical drugs available for over-the-counter purchase and enact restrictions on pharmacy benefit manager payment methodologies, among others. As noted above, the </w:t>
      </w:r>
      <w:r>
        <w:rPr>
          <w:rFonts w:ascii="Times New Roman;serif" w:hAnsi="Times New Roman;serif"/>
          <w:b w:val="false"/>
          <w:i/>
          <w:color w:val="000000"/>
          <w:sz w:val="20"/>
        </w:rPr>
        <w:t>Loper</w:t>
      </w:r>
      <w:r>
        <w:rPr>
          <w:color w:val="000000"/>
        </w:rPr>
        <w:t xml:space="preserve"> </w:t>
      </w:r>
      <w:r>
        <w:rPr>
          <w:rFonts w:ascii="Times New Roman;serif" w:hAnsi="Times New Roman;serif"/>
          <w:b w:val="false"/>
          <w:color w:val="000000"/>
          <w:sz w:val="20"/>
        </w:rPr>
        <w:t xml:space="preserve">decision could result in other legal challenges to current regulations and guidance issued by federal agencies applicable to our operations, including those issued by the FDA. Congress may introduce and ultimately pass health care-related legislation that could impact the drug approval process.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 For additional detail on healthcare reform that may affect our business, see the section entitled “Healthcare Reform” in Part I, Item 1 of our 2025 Annual Report.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and our partners and vendors, are subject to stringent and evolving United States and foreign laws, regulations and rules, contractual obligations, industry standards, policies and other obligations related to data privacy and security. The actual or perceived failure to comply with such obligations by us (or the partners and vendors with whom we work) could lead to regulatory investigations or actions, litigation (including class action claims) and mass arbitration demands, fines and penalties, disruptions of our business operations, reputational harm, loss of revenue or profits and other adverse business consequences.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and our partners and vendors, including CROs, collect, receive, store, process, generate, use, transfer, disclose, make accessible, protect, secure, dispose of, transmit and share (collectively, process) personal de-identified data and other sensitive information (collectively, sensitive data) in connection with the operations of our business, such as storage or otherwise processing sensitive data to support the conduct of our clinical trials. These processing activities subject us, and our partners and vendors, to various federal, state, local and foreign data privacy and security laws, regulations, guidance and industry standards and we (or the partners and vendors with whom we work) are or may become subject to external and internal privacy and security policies, contractual requirements and other obligations relating to data privacy and security. If we fail to comply with applicable requirements for processing sensitive data, including in connection with the development of our product candidates or otherwise, or if a partner or vendor fails to comply with the same or misuses sensitive data we provide to it, we may be subject to litigation, regulatory investigations, enforcement actions, fines and criminal or civil penalties, mass arbitration demands, additional reporting requirements and/or oversight, bans on processing personal data and orders to destroy or not use personal data, as well as negative publicity, reputational harm and other adverse business consequences.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United States, our and our partners’ and vendors’ operations are subject to numerous federal and state laws and regulations, including state data breach notification laws and federal and state data privacy laws and regulations that govern the collection, use, disclosure and protection of health information and other personal data, including information of our employees. For example, HIPAA imposes specific requirements relating to the privacy, security and transmission of individually identifiable protected health information, and we could potentially face substantial criminal or civil penalties if we knowingly receive protected health information from a HIPAA</w:t>
        <w:noBreakHyphen/>
        <w:t>covered healthcare provider or research institution that has not satisfied HIPAA’s requirements for disclosure of such health information, or otherwise violate applicable HIPAA requirements related to the protection of such information. Even when HIPAA does not apply, failure to take appropriate steps to keep consumers’ personal data secure may constitute a violation of the Federal Trade Commission Act and other similar laws (e.g., wiretapping laws).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Numerous U.S. states have enacted comprehensive data privacy and security laws that impose certain obligations on covered businesses, including providing specific disclosures in privacy notices and affording residents with certain rights concerning their personal data. As applicable, such rights include the right to access, correct or delete certain personal data and to opt</w:t>
        <w:noBreakHyphen/>
        <w:t xml:space="preserve">out of certain data processing activities, such as targeted advertising, profiling and automated decision-making. The exercise of these rights may impact our business and ability to advance our product candidates effectively. Certain states also impose more stringent requirements for processing certain personal data, including sensitive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22885"/>
                <wp:effectExtent l="0" t="0" r="0" b="0"/>
                <wp:wrapNone/>
                <wp:docPr id="76" name="Frame6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information, such as conducting data privacy impact assessments. These state laws allow for statutory fines for noncompliance. For example, the California Consumer Privacy Act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 Although the CCPA exempts some data processed in the context of clinical trials, the CCPA increases compliance costs and potential liability.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Similar laws are being considered in several other states, as well as at the federal and local levels, and we expect more states to pass similar laws in the future. These state laws may be more stringent or broader in scope, or offer greater individual rights, with respect to confidential, sensitive and personal data than federal, international or other state laws, and such laws may differ from each other and have potentially conflicting requirements that would make compliance challenging, require us to expend significant resources to achieve compliance and restrict our ability to process certain sensitive and personal data. Additionally, the U.S. Department of Justice issued a rule entitled Preventing Access to U.S. Sensitive Personal Data and Government-Related Data by Countries of Concern or Covered Persons, which places additional restrictions on certain data transactions involving countries of concern (e.g., China, Russia, Iran) and covered individuals (i.e., individuals and entities located in or controlled by individuals or entities located in those jurisdictions) that may impact certain business activities such as vendor engagements, employment of certain individuals and investor agreements. Violations of the rule could lead to significant civil and criminal fines and penalties. The rule applies regardless of whether data is anonymized, key-coded, pseudonymized, de-identified or encrypted.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Outside the United States, an increasing number of laws, regulations and industry standards may govern data privacy and security. For example, the EU’s General Data Protection Regulation 2016/679 (EU GDPR), the EU GDPR as it forms part of United Kingdom (UK) law by virtue of section 3 of the European Union (Withdrawal) Act 2018 (UK GDPR), Australia’s Privacy Act and Canada’s Personal Information Protection and Electronic Documents Act impose strict requirements for processing personal data.</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clinical trial programs, including related regulatory filings, and research collaborations that we engage in outside the United States in the future may implicate international laws and regulations concerning data privacy and security, including those governing various aspects of clinical research in the EU and the UK.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data privacy and security laws, we are or may become contractually subject to industry standards adopted by industry groups. We are also bound by other contractual obligations related to data privacy and security, and our efforts to comply with such obligations may not be successful. Our employees and personnel use AI technologies to perform their work, and the disclosure and use of personal data in AI technologies is subject to various data privacy laws and other privacy obligations. Governments have passed and are likely to pass additional laws regulating AI. Our use of this technology could result in additional compliance costs, regulatory investigations and actions and lawsuits. If we are unable to use AI, it could make our business less efficient and result in competitive disadvantages. We may use AI outputs to inform certain decisions. If the recommendations, forecasts or analyses that AI applications, including AI agents, produce or assist in producing are deficient, or inaccurate, offensive, illegal, biased or discriminatory, or otherwise harmful, we could be subject to competitive harm and potential legal liability under existing and/or future legislation or regulations, including in the United States and the EU. For example, due to inaccuracies or flaws in the inputs, outputs or logic of the AI technologies, the model could be biased and could result in decisions, or lead us to make decisions, that could bias certain individuals (or classes of individuals) and adversely impact them, such as adversely impacting their ability to obtain certain pricing, products, services or benefits.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Data privacy and security laws are quickly evolving, becoming increasingly stringent and creating uncertainty. Additionally, these laws may be subject to differing applications and interpretations, which may be inconsistent or conflict among jurisdictions. We expect that we will need to expend significant capital and other resources to ensure ongoing compliance with applicable data privacy and security laws. Claims that we have violated individuals’ privacy rights or breached our contractual obligations related to data privacy and security, even if we are not found liable, could be expensive and time</w:t>
        <w:noBreakHyphen/>
        <w:t xml:space="preserve">consuming to defend and could result in negative publicity that could harm our business. Moreover, even if we take all necessary action to comply with legal and regulatory requirements, we or our partners or vendors could fail or be perceived to have failed to comply with such obligations, which could subject us to fines and penalties, as well as litigation and reputational damage. In particular, plaintiffs have become increasingly more active in bringing privacy-related claims against companies, including class action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delays in the development of our product candidates due to inability to process personal data or to operate in certain jurisdictions, limited ability to develop or commercialize our products, expenditure of time and resources to defend any claim or inquiry, adverse publicity or substantial changes to our planned candidate pipeline development and business operations. If we fail to keep apprised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22885"/>
                <wp:effectExtent l="0" t="0" r="0" b="0"/>
                <wp:wrapNone/>
                <wp:docPr id="77" name="Frame6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and comply with applicable foreign, federal, state or local regulatory requirements and changes thereto, we could be subject to a range of regulatory actions that could affect our or any vendors’ or partners’ ability to seek to commercialize our product candidates. Any threatened or actual government enforcement action, or litigation when private rights of action are available, could also generate negative publicity, damage our reputation, result in liabilities, fines and adverse business consequences and require that we devote substantial resources that could otherwise be used in support of other aspects of our business.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International expansion of our business would expose us to business, regulatory, political, operational, financial and economic risks associated with doing business outside of the United States.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our long-term business strategy, we may pursue international expansion, including partnering with academic and commercial testing laboratories and introducing our technology outside the United States. Doing business internationally involves a number of risks, including: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multiple, conflicting and changing laws and regulations such as tax laws, export and import restrictions, employment laws, regulatory requirements and other governmental approvals, permits and licenses;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failure by us or our distributors to obtain regulatory approvals for the sale or use of ronde-cel, LYL273 or any other product candidates we may develop or acquire in various countries;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difficulties in managing foreign operations;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complexities associated with managing government payor systems, multiple payor-reimbursement regimes or self</w:t>
        <w:noBreakHyphen/>
        <w:t xml:space="preserve">pay systems;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logistics and regulations associated with shipping blood samples, including infrastructure conditions and transportation delays;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limits on our ability to penetrate international markets if our current products or any other product candidates we may develop or acquire cannot be processed by an appropriately qualified local laboratory;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financial risks, such as longer payment cycles, difficulty enforcing contracts and collecting accounts receivable and exposure to foreign currency exchange rate fluctuations;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reduced protection for intellectual property rights, or lack of them in certain jurisdictions, forcing more reliance on our trade secrets, if available;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natural disasters, political and economic instability, including wars, invasions, other military actions, terrorism and political unrest, outbreak of disease, boycotts, curtailment of trade and other business restrictions;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failure to comply with the FCPA, including its books and records provisions and its anti</w:t>
        <w:noBreakHyphen/>
        <w:t xml:space="preserve">bribery provisions, by maintaining accurate information and control over sales activities and distributors’ activities.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the sale of pharmaceutical products overseas at lower prices than in the United States could adversely impact our U.S. pricing strategy and financial condition if the U.S. federal health care program adopts a Most-Favored-Nation pricing structure. As a result of such policy, we may elect not to expand our business to certain foreign countries, which would limit our market opportunity. Any of these risks, if encountered, could significantly harm our international expansion and operations and, consequently, could have a material adverse effect on our financial condition and results of operations and could adversely affect our ability to successfully implement our business strategy.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Relating to Our Intellectual Property</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If we are unable to obtain and maintain sufficient intellectual property protection for our product candidates, or if the scope of the intellectual property protection is not sufficiently broad, our ability to commercialize our product candidates successfully and to compete effectively may be adversely affected.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rely upon a combination of patents, trademarks, trade secrets and confidentiality agreements to protect the intellectual property related to our technologies and product candidates. We own or possess certain intellectual property and in-license other intellectual property owned or possessed by our partners. When we refer to “our” technologies, inventions, patents, patent applications or other intellectual property rights, we are referring to both the rights that we own or possess as well as those that we in-license, many of which are critical to our intellectual property protection and our business. If the intellectual property that we rely on is not adequate, competitors may be able to use our technologies and erode or negate any competitive advantage we may have.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patentability of inventions and the validity, enforceability and scope of patents in the biopharmaceutical industry is uncertain because it involves complex legal, scientific and factual considerations, and it has in recent years been the subject of significant litigation. Moreover, the standards applied by the U.S. Patent and Trademark Office (USPTO)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22885"/>
                <wp:effectExtent l="0" t="0" r="0" b="0"/>
                <wp:wrapNone/>
                <wp:docPr id="78" name="Frame6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non-U.S. patent offices in granting patents are not always applied uniformly or predictably. There is also no assurance that all potentially relevant prior art relating to our patents and patent applications is known to us or has been found in the instances where searching was done. We may be unaware of prior art that could be used to invalidate an issued patent or prevent a pending patent application from issuing as a patent. There also may be prior art of which we are aware, but which we do not believe affects the validity, enforceability or patentability of a claim of one of our patents or patent applications, which may, nonetheless, ultimately be found to affect the validity, enforceability or patentability of such claim. As a consequence of these and other factors, our patent applications may fail to result in issued patents with claims that cover our product candidates in the United States or in other countries.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Even if patents have issued or do successfully issue from patent applications, and even if these patents cover our product candidates, third parties may challenge the validity, enforceability or scope thereof, which may result in these patents being narrowed, invalidated or held to be unenforceable. No assurance can be given that if challenged, our patents would be declared by a court to be valid or enforceable. Even if unchallenged, our patents and patent applications or other intellectual property rights may not adequately protect our intellectual property, provide exclusivity for our product candidates or prevent others from designing around our claims. The possibility exists that others will develop products on an independent basis which have the same effect as our product candidates and which do not infringe our patents or other intellectual property rights, or that others will design around the claims of patents that we have had issued that cover our product candidates. If the breadth or strength of protection provided by our patents and patent applications with respect to our product candidates is threatened, it could jeopardize our ability to commercialize our product candidates and it could dissuade companies from collaborating with us.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also desire to seek licenses from third parties who own or have rights to intellectual property that may be useful for providing exclusivity for our product candidates, or for providing the ability to develop and commercialize a product candidate in an unrestricted manner. There is no guarantee that we will be able to obtain such licenses from third parties on commercially reasonable terms, or at all.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USPTO and various foreign governmental or inter-governmental patent agencies require compliance with a number of procedural, documentary, fee payment and other similar provisions during and after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irreversible loss of patent rights in the relevant jurisdiction. In such an event, our competitors might be able to enter the market, which could have a material adverse effect on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United States patent applications containing or that at any time contained a claim not entitled to a priority date before March 16, 2013 are subject to the “first to file” system implemented by the America Invents Act (2011). The first to file system requires us to be cognizant of the time from invention to filing of a patent application. Because patent applications in the United States and most other countries are confidential for a period of time after filing, and some remain so until issued, we cannot be certain that we or our partners were the first to file any patent application related to a product candidate.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our registered or unregistered trademarks or trade names may be challenged, infringed or declared generic or determined to be infringing on other marks. We may not be able to protect our rights to these trademarks and trade names, which we view as valuable to building name recognition among potential partners and customers in our markets of interest. At times, competitors or other third parties have adopted or may adopt trade names or trademarks similar to ours, thereby impeding our ability to build brand identity and possibly leading to market confusion and/or litigation.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protect or defend our proprietary rights related to trademarks may be ineffective and could result in substantial costs and diversion of resources and could adversely affect our business, financial condition, results of operations and prospects.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The lifespans of our patents may not be sufficient to effectively protect our products and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Patents have a limited lifespan. In the United States, the natural expiration of a patent is generally 20 years after its first nonprovisional effective filing date. Although various extensions may be available, the life of a patent, and the protection it affords, is limited. Even if patents covering our product candidates are obtained, once the patent life has expired for a product, we may be open to competition from biosimilar or generic medications. In addition, although upon issuance in the United States a patent’s life can be increased based on certain delays caused by the USPTO, this increase can be reduced or eliminated based on certain delays caused by the patent applicant during patent prosecution. While the patent term of certain patents can also be extended with respect to a specific product to recapture time lost in clinical trials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22885"/>
                <wp:effectExtent l="0" t="0" r="0" b="0"/>
                <wp:wrapNone/>
                <wp:docPr id="79" name="Frame7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and regulatory review by the FDA, a patent’s life also can be shortened by a terminal disclaimer over an earlier filed patent or patent application. If we do not have sufficient patent life to protect our products, our business and results of operations will be adversely affected.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may not be able to protect our intellectual property rights throughout the world.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Filing, prosecuting, enforcing and defending patents on all of our product candidates in all countries throughout the world would be prohibitively expensive. Our intellectual property rights in certain countries outside the United States may be less extensive than those in the United States. In addition, the laws of certain foreign countries do not protect intellectual property rights to the same extent as laws in the United States. Consequently, we and our partners may not be able to prevent third parties from practicing our inventions in countries outside the United States, or from selling or importing infringing products made using our inventions in other jurisdictions. Competitors may use our technologies in jurisdictions where we have not obtained patent protection or where we do not have exclusive rights under the relevant patents to develop their own products and, further, may export otherwise-infringing products to territories where we and our partners have patent protection but where enforcement is not as strong as that in the United States. These infringing products may compete with our product candidates in jurisdictions where we or our partners have no issued patents or where we do not have exclusive rights under the relevant patents, or our patent claims and other intellectual property rights may not be effective or sufficient to prevent them from so competing.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partners to stop the infringement of our patents or marketing of competing products in violation of our intellectual property rights generally. Proceedings to enforce our patent rights in foreign jurisdictions could result in substantial costs and divert our attention from other aspects of our business, could put our patents at risk of being invalidated or interpreted narrowly, could put our patent applications at risk of not issuing and could provoke third parties to assert claims against us or our partners. We or our partners may not prevail in any lawsuits that we or our licensors initiate, and even if we or our licensors are successful, the damages or other remedies awarded, if any, may not be commercially meaningful.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we or our partners may have limited remedies, which could materially diminish the value of such patent. If we or our partners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lineRule="auto" w:line="288" w:before="120" w:after="283"/>
        <w:jc w:val="left"/>
        <w:rPr/>
      </w:pPr>
      <w:r>
        <w:rPr>
          <w:rFonts w:ascii="Times New Roman;serif" w:hAnsi="Times New Roman;serif"/>
          <w:b/>
          <w:i/>
          <w:color w:val="000000"/>
          <w:sz w:val="20"/>
        </w:rPr>
        <w:t>We may not be successful in obtaining or maintaining necessary rights to product components and processes for our development pipeline through acquisitions and in-licenses and to operate without infringing on the valid and enforceable patents and other proprietary rights of third parties</w:t>
      </w:r>
      <w:r>
        <w:rPr>
          <w:rFonts w:ascii="Times New Roman;serif" w:hAnsi="Times New Roman;serif"/>
          <w:b/>
          <w:i/>
          <w:color w:val="000000"/>
          <w:sz w:val="24"/>
        </w:rPr>
        <w: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Presently we have rights to the intellectual property, through licenses from third parties and under patent applications that we own or will own, to develop our product candidates. Because our programs may involve additional product candidates that may require the use of proprietary rights held by third parties, the growth of our business will likely depend in part on our ability to acquire, in-license or use these proprietary rights.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product candidates may also require specific formulations, manufacturing methods or technologies to work effectively and efficiently, and these rights may be held by others. We may be unable to acquire or in-license any compositions, methods of use, processes or other third-party intellectual property rights from third parties that we identify. We may fail to obtain any of these licenses at a reasonable cost or on reasonable terms; such failure would harm our business. Even if we are able to obtain a license, it may be non-exclusive, thereby giving our competitors access to the same technologies licensed to us. In that event, we may be required to expend significant time and resources to develop or license replacement technology. We may need to cease use of the compositions or methods covered by such third-party intellectual property rights.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our product candidates and to operate without infringing on the valid and enforceable patents and other proprietary rights of third parties. More established companies may have a competitive advantage over us due to their size, cash resources and greater clinical development and commercialization capabilities.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22885"/>
                <wp:effectExtent l="0" t="0" r="0" b="0"/>
                <wp:wrapNone/>
                <wp:docPr id="80" name="Frame7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If we are unable to protect the confidentiality of our trade secrets and other proprietary information, the value of our technology could be adversely affected and our business could be harmed.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seeking the protection afforded by patents, we rely on trade secret protection and confidentiality agreements to protect proprietary know-how that is not patentable or that we elect not to patent, processes for which patents are difficult to enforce and other elements of our technology, discovery and development processes that involve proprietary know-how, information or technology that is not covered by patents. Any disclosure to or misappropriation by third parties of our confidential proprietary information could enable competitors to quickly duplicate or surpass our technological achievements, including by enabling them to develop and commercialize products substantially similar to or competitive with our product candidates, thus eroding our competitive position in the market.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Trade secrets can be difficult to protect. We seek to protect our proprietary, confidential technology and processes, in part, by entering into confidentiality agreements and invention assignment agreements with our employees, consultants and outside scientific advisors, contractors and collaborators. These agreements are designed to protect our proprietary information. Although we use reasonable efforts to protect our trade secrets, our employees, consultants, contractors, or outside scientific advisors might intentionally or inadvertently disclose our trade secrets or confidential, proprietary information to competitors. In addition, competitors may otherwise gain access to our trade secrets or independently develop substantially equivalent information and techniques. If any of our confidential proprietary information were to be lawfully obtained or independently developed by a competitor, we would have no right to prevent such competitor from using that technology or information to compete with us, which could harm our competitive position.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Enforcing a claim that a third party illegally obtained and is using any of our trade secrets is expensive and time consuming, and the outcome is unpredictable. In addition, the laws of certain foreign countries do not protect proprietary rights such as trade secrets to the same extent or in the same manner as the laws of the U.S. Misappropriation or unauthorized disclosure of our trade secrets to third parties could impair our competitive advantage in the market and could adversely affect our business, results of operations and financial condition.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If we are sued for infringing the intellectual property rights of third parties, the resulting litigation could be costly and time-consuming and could prevent or delay our development and commercialization efforts.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us and our partners not infringing the patents and proprietary rights of third parties. There is a substantial amount of litigation and other adversarial proceedings, both within and outside the United States, involving patent and other intellectual property rights in the biopharmaceutical industry, including patent infringement lawsuits, interference or derivation proceedings, oppositions, and inter partes and post-grant review proceedings before the USPTO and non-U.S. patent offices. Numerous U.S. and non-U.S. issued patents and pending patent applications owned by third parties exist in the fields in which we are developing, and may develop, product candidates. As the biopharmaceutical industry expands and more patents are issued, the risk increases that our product candidates may be subject to claims of infringement of third parties’ patent rights, as it may not always be clear to industry participants, including us, which patents cover various types of products, methods of making or methods of use. The coverage of patents is subject to interpretation by the courts, and the interpretation is not always uniform or predictable.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Third parties may assert infringement claims against us based on existing or future intellectual property rights, alleging that we are employing their proprietary technology without authorization. There may be third-party patents or patent applications with claims to materials, formulations, methods of manufacture or methods for treatment related to the use or manufacturing of our product candidates that we failed to identify. For example, patent applications covering our product candidates could have been filed by others without our knowledge, since these applications generally remain confidential for some period of time after their filing date. Even pending patent applications that have been published, including some of which we are aware, could be later amended in a manner that could cover our product candidates or their use or manufacture. In addition, we may have analyzed patents or patent applications of third parties that we believe are relevant to our activities and believe that we are free to operate in relation to any of our product candidates, but our competitors may obtain issued claims, including in patents we consider to be unrelated, which may block our efforts or potentially result in any of our product candidates or our activities infringing their claims.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or our partners are sued for patent infringement, we would need to demonstrate that our product candidates, products and methods either do not infringe the patent claims of the relevant patent or that the patent claims are invalid or unenforceable, and we may not be able to do this. Proving that a patent is invalid is difficult and even if we are successful in the relevant proceedings, we may incur substantial costs, and the time and attention of our management and scientific personnel could be diverted from other activities. If one or more claims of any issued third-party patents were held by a court of competent jurisdiction to cover aspects of our materials, formulations, methods of manufacture or methods for treatment, we may have to pay substantial damages, including enhanced damages and attorneys’ fees if we are found to have willfully infringed a patent. Further, we could be forced, including by court order, to cease developing, manufacturing or commercializing the relevant product candidate until the relevant patent expired. Alternatively, we may desire or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22885"/>
                <wp:effectExtent l="0" t="0" r="0" b="0"/>
                <wp:wrapNone/>
                <wp:docPr id="81" name="Frame7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required to obtain a license from such third party in order to use the infringing technology and to continue developing, manufacturing or marketing the infringing product candidate. However, we may not be able to obtain any required license on commercially reasonably terms, or at all. Even if we were able to obtain a license, the rights may be nonexclusive, which could result in our competitors gaining access to the same intellectual property licensed to us. If we are unable to obtain a necessary license on commercially reasonable terms, or at all, our ability to commercialize our product candidates may be impaired or delayed, which could in turn significantly harm our business.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may face claims that we misappropriated the confidential information or trade secrets of a third party. If we are found to have misappropriated a third party’s trade secrets, we may be prevented from further using these trade secrets, which could limit our ability to develop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employ individuals who were previously employed at other biopharmaceutical companies. We may be subject to claims that we or our employees, consultants or independent contractors have inadvertently or otherwise used or disclosed confidential information of third parties or such individuals’ former employers. Defending against intellectual property claims, regardless of their merit, could be costly and time consuming, regardless of the outcome. Thus, even if we were to ultimately prevail, or to settle before a final judgment, any litigation could burden us with substantial unanticipated costs. In addition, litigation or threatened litigation could result in significant demands on the time and attention of our management team, distracting them from the pursuit of other company business. During the course of any intellectual property litigation, there could be public announcements of the results of hearings, rulings on motions and other interim proceedings in the litigation and these announcements may have negative impact on the perceived value of our product candidates, programs or intellectual property. In the event of a successful intellectual property claim against us, we may have to pay substantial damages, including enhanced damages and attorneys’ fees if we are found to have willfully misappropriated third-party intellectual property. In addition to paying monetary damages, we may lose sole ownership of valuable intellectual property rights or may lose personnel, and the parties making claims against us may obtain injunctive or other equitable relief, which could impose limitations on the conduct of our business. As a result of all of the foregoing, any actual or threatened intellectual property claim could prevent us from developing or commercializing a product candidate or force us to cease some aspect of our business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have in-licensed a portion of our intellectual property from our partners and other third parties. If we breach any of our license agreements with these licensors, we could potentially lose the ability to continue the development and potential commercialization of one or more of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hold rights under license agreements with our partners and other third parties. Our discovery and development technologies are built, in part, around intellectual property rights in-licensed from these licensors. Under our existing license agreements, such as the UCLA License Agreement related to our CD19/CD20 program that we assumed in connection with our acquisition of ImmPACT, and our exclusive license agreement with ICT for LYL273, we are subject to various obligations, which may include diligence obligations with respect to development and commercialization activities, payment obligations upon achievement of certain milestones and royalties on product sales. If there is any conflict, dispute, disagreement or issue of nonperformance between us and our counterparties regarding our rights or obligations under these license agreements, including any conflict, dispute or disagreement arising from our failure to satisfy diligence or payment obligations, we may be liable to pay damages and our counterparties may have a right to terminate the affected license. The termination of any license agreement with one of our licensors could adversely affect our ability to utilize the intellectual property that is subject to that license agreement in our discovery and development efforts, our ability to enter into future collaboration, licensing and/or marketing agreements for one or more affected product candidates and our ability to commercialize the affected product candidates. Furthermore, disagreements under any of these license agreements may arise, including those related to: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scope of rights granted under the license agreement and other interpretation-related issues;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whether and the extent to which our technology and processes may infringe on intellectual property of the licensor that is not subject to the licensing agreement;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right to sublicense patent and other rights to third parties under collaborative development relationships;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ownership of inventions and know-how resulting from the joint creation or use of intellectual property by our licensors and us and our partners.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disagreements may harm our relationship with the partner or other licensor, which could have negative impacts on other aspects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22885"/>
                <wp:effectExtent l="0" t="0" r="0" b="0"/>
                <wp:wrapNone/>
                <wp:docPr id="82" name="Frame7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may become involved in lawsuits to protect or enforce our intellectual property, which could be expensive, time-consuming and unsuccessful and have an adverse effect on the success of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Third parties may infringe our patents or misappropriate or otherwise violate our intellectual property rights. Our patent applications cannot be enforced against third parties practicing the technology claimed in these applications unless and until a patent issues from the applications, and then only to the extent the issued claims cover the technology. In the future, we or our partners may elect to initiate legal proceedings to enforce or defend our or our partners’ intellectual property rights, to protect our or our partners’ trade secrets or to determine the validity or scope of our intellectual property rights. Any claims that we or our partners assert against perceived infringers could also provoke these parties to assert counterclaims against us or our partners alleging that we or our partners infringe their intellectual property rights or that our intellectual property rights are invalid. In patent litigation in the United States, defendant counterclaims alleging noninfringement, invalidity and/or unenforceability are commonplace, and there are numerous grounds upon which a third party can assert noninfringement, invalidity or unenforceability of a patent. The outcome following legal assertions of noninfringement, unpatentability, invalidity and unenforceability is unpredictable. With respect to the validity of patent rights, for example, we cannot be certain that there is no invalidating prior art, of which we, our patent counsel and the patent examiner were unaware during prosecution. If a defendant were to prevail on a legal assertion of unpatentability, invalidity and/or unenforceability, we would lose at least part, and perhaps all, of the patent protection on our product candidates. Such a loss of patent protection could have a material adverse impact on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Interference, derivation or opposition proceedings provoked by third parties, brought by us or our partners, or brought by the USPTO or any non-U.S. patent authority may be necessary to determine the priority of inventions or matters of inventorship with respect to our patents or patent applications. We or our partners may also become involved in other proceedings, such as reexamination or opposition proceedings, inter partes review, post-grant review or other pre-issuance or post-grant proceedings in the USPTO or its foreign counterparts relating to our intellectual property or the intellectual property of others. Such proceedings could result in revocation or amendment to our patents in such a way that they no longer cover and protect our product candidates. An unfavorable outcome in any of these proceedings could require us or our partners to cease using the related technology and commercializing our product candidates, or to attempt to license rights to it from the prevailing party. Our business could be harmed if the prevailing party does not offer us or our partners a license on commercially reasonable terms if any license is offered at all. Even if we or our licensors obtain a license, it may be non-exclusive, thereby giving our competitors access to the same technologies licensed to us or our licensors. In addition, if the breadth or strength of protection provided by our patents and patent applications is threatened, it could dissuade companies from collaborating with us to license, develop or commercialize current or future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intellectual property proceedings can be expensive and time-consuming. Our or our partners’ adversaries in these proceedings may have the ability to dedicate substantially greater resources to prosecuting these legal actions than we or our partners can. Accordingly, despite our or our partners’ efforts, we or our partners may not be able to prevent third parties from infringing upon or misappropriating our intellectual property rights, particularly in countries where the laws may not protect our rights as fully as the laws in the United States. Even if we are successful in the relevant proceedings, we may incur substantial costs, and the time and attention of our management and scientific personnel could be diverted from other activities. In addition, in an infringement proceeding, a court may decide that one or more of our patents is invalid or unenforceable, in whole or in part, may refuse to stop the other party from using the technology at issue on the grounds that our patents do not cover the technology in question and/or may require us to pay the other party attorneys’ fees. An adverse result in any litigation proceeding could put one or more of our patents at risk of being invalidated, held unenforceable or interpreted narrowly.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may be subject to claims challenging the inventorship of our patents and other intellectual property.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in the future be subject to claims that former employees, collaborators or other third parties have an interest in our patents or other intellectual property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22885"/>
                <wp:effectExtent l="0" t="0" r="0" b="0"/>
                <wp:wrapNone/>
                <wp:docPr id="83" name="Frame7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may be subject to claims that our employees, consultants or independent contractors have breached non-compete or non-solicit obligations.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employ individuals who were previously employed at other biopharmaceutical companies. We may be subject to claims that we or our employees, consultants or independent contractors have inadvertently or otherwise breached non-compete or non-solicit obligations with respect to such individuals’ prior employers. Dealing with such claims and negotiating with potential claimants could result in substantial cost and be a distraction to our management and employees. In addition, litigation may be necessary to defend against these claims, and even if we are successful in defending against these claims, such litigation could result in further costs to us and distraction to our management and employees.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acquired or licensed, or may require in the future, intellectual property rights that have been generated through the use of U.S. government funding or grant. Pursuant to the Bayh-Dole Act,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For example,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The market price of our common stock has been, and may continue to be, volatile, which could result in substantial losses for investors.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market price of our common stock has been, and may continue to be, volatile and may fluctuate substantially as a result of a variety of factors, many of which are beyond our control. Some of the factors that may cause the market price of our common stock to fluctuate are listed below and other factors described in this “Risk Factors” section: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timing and results of nonclinical studies and clinical trials for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failure or discontinuation of any of our product development and research programs;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success of existing or new competitive product candidates or technologies;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results of clinical trials or regulatory approvals of our competitors;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commencement or termination of collaborations, licenses, product acquisitions or other strategic transactions relating to our product development and research programs;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successfully manufacture our product candidates at LyFE;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any future acquisitions, strategic investments, partnerships or alliances and the related financial terms and obligations;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regulatory or legal developments in the United States and other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22885"/>
                <wp:effectExtent l="0" t="0" r="0" b="0"/>
                <wp:wrapNone/>
                <wp:docPr id="84" name="Frame7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recruitment or departure of key personnel;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developments or disputes including those concerning patent applications, issued patents or other proprietary rights;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labor discord or disruption, geopolitical events and tensions, social unrest, war, armed conflicts and turmoil, terrorism, political instability, acts of public violence, boycotts, hostilities and social unrest and health pandemics;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level of expenses related to, or changes in prioritization or the discontinuation of, any of our research programs or clinical development programs;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actual or anticipated changes in our estimates as to our financial results or development timelines;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whether our financial results, forecasts and development timelines meet the expectations of securities analysts or investors;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announcement or expectation of additional financing efforts;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sales of our common stock by us, our insiders or other stockholders;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volume of trading in our common stock, with lower volume making our stock more susceptible to volatility;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estimates or recommendations by securities analysts, if any, that cover our stock;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market conditions in the biopharmaceutical industry;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general economic, industry and market conditions beyond our control, such as inflationary pressures, the interest rate environment, labor shortages and supply chain constraints, instability in the banking industry and other macroeconomic factors and associated economic downturn.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recent years, stock markets in general, and the market for biopharmaceutical companies in particular, have experienced significant price and volume fluctuations that have often been unrelated or disproportionate to changes in the operating performance of the companies whose stock is experiencing those price and volume fluctuations. Broad market and industry factors have affected and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Raising additional capital may cause dilution to our existing stockholders, restrict our operations or require us to relinquish rights to our technologies or our products.*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We may seek additional capital through a combination of public and private equity offerings, debt financings, strategic partnerships and alliances and licensing arrangements. We, and indirectly, our stockholders, will bear the cost of issuing and servicing securities issued in any such transactions. Because our decision to issue debt or equity securities in any future offering will depend on market conditions and other factors beyond our control, we cannot predict or estimate the amount, timing or nature of any future offerings. In February 2024, we entered into the Sales Agreement pursuant to which we may offer and sell, from time to time, up to $150.0 million in shares of our common stock. As of March 31, 2026, we have sold 65,092 shares of our common stock under the Sales Agreement. In October 2024, in connection with the acquisition of ImmPACT, we issued 1,875,000 shares of our common stock at closing (shares reflecting the effect of the 1-for-20 reverse stock split we effected in May 2025 (the Reverse Stock Split)), as adjusted for cash payments made in lieu of fractional shares, and, in July 2025, we issued an additional 625,000 shares of our common stock in connection with the achievement of certain clinical milestones, to certain pre</w:t>
        <w:noBreakHyphen/>
        <w:t xml:space="preserve">closing stockholders of ImmPACT. In July 2025, we entered into the SPA, pursuant to which in July 2025, we issued 3,753,752 shares of our common stock in the initial closing and, in March 2026, we issued an additional 1,952,360 shares of our common stock in a subsequent closing. In November 2025 we entered into the exclusive license agreement with ICT pursuant to which we issued 1,900,000 shares of our common stock at closing and may issue up to additional 1,850,000 shares of our common stock in the future pursuant to the terms specified in the agreement. See Note 9, </w:t>
      </w:r>
      <w:r>
        <w:rPr>
          <w:rFonts w:ascii="Times New Roman;serif" w:hAnsi="Times New Roman;serif"/>
          <w:b w:val="false"/>
          <w:i/>
          <w:color w:val="000000"/>
          <w:sz w:val="20"/>
        </w:rPr>
        <w:t>Stockholders’ Equity</w:t>
      </w:r>
      <w:r>
        <w:rPr>
          <w:rFonts w:ascii="Times New Roman;serif" w:hAnsi="Times New Roman;serif"/>
          <w:b w:val="false"/>
          <w:color w:val="000000"/>
          <w:sz w:val="20"/>
        </w:rPr>
        <w:t>, in the accompanying notes to the unaudited condensed consolidated financial statements included in Part I, Item 1, of this Quarterly Report on Form 10</w:t>
        <w:noBreakHyphen/>
        <w:t xml:space="preserve">Q, for additional details regarding the terms under which we may issue additional securities pursuant to the exclusive license agreement with ICT. To the extent that we raise additional capital through the sale of equity or debt securities, including pursuant to the Sales Agreement or exclusive license agreement with ICT, your ownership interest may be diluted, and the terms may include liquidation or other preferences that adversely affect your rights as a stockholder. Any such future issuance of capital stock may result in further dilution of your ownership.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22885"/>
                <wp:effectExtent l="0" t="0" r="0" b="0"/>
                <wp:wrapNone/>
                <wp:docPr id="85" name="Frame7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alliances or licensing arrangements with third parties, we may have to relinquish valuable rights to our technologies or our products, or grant licenses on terms unfavorable to us. Certain of the foregoing transactions may require us to obtain stockholder approval, which we may not be able to obtain.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Future acquisitions, strategic investments, partnerships or alliances could be difficult to identify and integrate, divert the attention of management, disrupt our business, dilute stockholder value and adversely affect our operating results and financial condition.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future, we may seek to acquire or invest in additional businesses, products or technologies that we believe could complement or expand our technologies, enhance our technical capabilities or otherwise offer growth opportunities, such as our November 2025 acquisition of the exclusive license to LYL273 from ICT. The pursuit of potential acquisitions or strategic investments may divert the attention of management and cause us to incur various expenses in identifying, investigating and pursuing suitable acquisitions or investments, whether or not such transactions are completed. In addition, we have only limited experience in acquiring or investing in other businesses, and we may not successfully identify desirable targets. Once we acquire additional businesses, we may not be able to integrate them effectively following the acquisition. Acquisitions of companies or exclusive licenses of third-party intellectual property could also result in the incurrence of debt or dilutive issuances of equity securities, as we had done in connection with the acquisition of ImmPACT and the exclusive license with ICT, as well as unfavorable accounting treatment and exposure to claims and disputes by third parties, including intellectual property claims. We also may not generate sufficient financial returns to offset the costs and expenses related to any acquisitions. In addition, if an acquired business fails to meet our expectations, our business, operating results and financial condition may suffer.</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Sales of a substantial number of shares of our common stock by our existing stockholders could cause the price of our common stock to decline.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 any time, sales of a substantial number of shares of our common stock in the public market could occur, or there could be a perception in the market that the holders of a large number of shares of common stock intend to sell shares, and any such event could reduce the market price of our common stock. Substantially all of the shares of our common stock outstanding and shares issued upon the exercise of stock options outstanding under our equity incentive plans, subject to applicable securities law restrictions, may be able to be sold in the public market.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certain holders of shares of our common stock have rights, subject to conditions, to require us to file or maintain registration statements with the SEC covering their shares or to include their shares in registration statements that we may file for ourselves or other stockholders. For example, in connection with the acquisition of ImmPACT, in October 2024 we issued 1,875,000 shares of our common stock at closing (shares reflecting the effect of the Reverse Stock Split), as adjusted for cash payments made in lieu of fractional shares, and, in July 2025, we issued an additional 625,000 shares of our common stock in connection with the achievement of certain clinical milestones, to certain pre</w:t>
        <w:noBreakHyphen/>
        <w:t>closing stockholders of ImmPACT. Additionally, in connection with the ICT License Agreement, we issued 1,900,000 shares of our common stock to ICT in November 2025. Holders of such shares of our common stock have rights, subject to conditions, to require us to file registration statements covering their shares for public sale within certain timeframes following the closing of the acquisition and the achievement of milestones, as applicable. In addition, the investors under the SPA have rights to require us to file and maintain one or more registration statements covering the shares issued or issuable to them in the private placement for public sale within certain timeframes. If any of these additional shares are sold, or if it is perceived that they will be sold, in the public market, the market price of our common stock could decline.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If securities or industry analysts do not publish research or reports about our business, or if they publish negative or neutral evaluations of our stock, the price of our stock could decline.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relies in part on the research and reports that industry or securities analysts publish about us or our business. If one or more of the analysts covering our business initiate coverage with a neutral or sell rating or downgrade their evaluations of our stock, the price of our stock could decline. If one or more of these analysts cease to cover our stock, we could lose visibility in the market for our stock, which in turn could cause our stock price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22885"/>
                <wp:effectExtent l="0" t="0" r="0" b="0"/>
                <wp:wrapNone/>
                <wp:docPr id="86" name="Frame7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The requirements of being a public company require our management to devote substantial time to compliance initiatives and corporate governance practices and could divert management’s attention and strain our resources.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public company, we incur and will continue to incur significant legal, accounting and other expenses that we did not incur as a private company. Section 404, the Dodd-Frank Wall Street Reform and Consumer Protection Act, the rules and regulations of the SEC, the listing requirements and rules of The Nasdaq Stock Market LLC and other applicable U.S. rules and regulations impose various requirements on public companies, including establishment and maintenance of effective disclosure and financial controls and corporate governance practices. In October 2024, we acquired ImmPACT, a privately-owned clinical stage biotechnology company that was not previously subject to these requirements. In connection with our efforts to comply with the requirements of being a public company, our management and our accounting, finance and other personnel will continue to need to devote a substantial amount of time towards maintaining compliance with these requirements. These requirements have and will increase our legal and financial compliance costs and will make some activities more time-consuming and costly. For example, the rules and regulations applicable to us as a public company have made it more expensive for us to obtain director and officer liability insurance. We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If we fail to maintain proper and effective internal controls over financial reporting or identify additional material weaknesses in the future, we may not be able to accurately or timely report our financial condition or results of operations, which may significantly harm our business and the value of our common stock.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 public company, we are required to maintain internal control over financial reporting and to report any material weaknesses in such internal control. Section 404 of the Sarbanes-Oxley Act (Section 404) requires that we evaluate and determine the effectiveness of our internal control over financial reporting. The rules governing the standards that must be met for management to assess our internal control over financial reporting are complex and require significant documentation, testing and possible remediation. We and our independent auditors have previously identified a material weakness in our internal control over financial reporting, and we cannot assure you that we will not identify other material weaknesses in the future. A material weakness is a deficiency or combination of deficiencies in internal control over financial reporting such that there is a reasonable possibility that a material misstatement of our consolidated financial statements will not be prevented or detected on a timely basis.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not have identified all material weaknesses, and our current controls and any new controls that we develop may become inadequate because of changes in personnel or conditions in our business or otherwise. Accordingly, we cannot assure you that any future material weaknesses will not result in a material misstatement of our consolidated financial statements and/or our failure to meet our public reporting obligations. In addition, if we and/or our independent registered public accounting firm are unable to conclude that our internal control over financial reporting is effective in the future, investor confidence in the accuracy and completeness of our consolidated financial statements would be adversely affected, which could significantly harm our business and the value of our common stock.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non-accelerated filer. For so long as we remain a non-accelerated filer, our independent registered public accounting firm will not be required to attest to the effectiveness of our internal control over financial reporting pursuant to Section 404.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disclosure controls and procedures may not prevent or detect all errors or acts of fraud.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the periodic reporting requirements of the Exchange Act, and we must maintain disclosure controls and procedures designed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or identify a potential conflict of interest. Additionally, controls can be circumvented by the individual acts of some persons, by collusion of two or more people or by an unauthorized override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22885"/>
                <wp:effectExtent l="0" t="0" r="0" b="0"/>
                <wp:wrapNone/>
                <wp:docPr id="87" name="Frame7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controls. Accordingly, because of the inherent limitations in our control system, misstatements due to error or fraud may occur and not be detected.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Delaware law and provisions in our amended and restated certificate of incorporation and bylaws might discourage, delay or prevent a change in control of our company or changes in our management and, therefore, depress the trading price of our common stock.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Provisions in our amended and restated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organizational documents: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establish that our board of directors is divided into three classes, Class I, Class II and Class III, with each class serving staggered three-year terms;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provide that our directors may be removed only for cause;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provide that vacancies on our board of directors may be filled only by a majority of directors then in office, even though less than a quorum;</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eliminate cumulative voting in the election of directors;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authorize our board of directors to issue shares of preferred stock and determine the price and other terms of those shares, including preferences and voting rights, without stockholder approval;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permit stockholders to take actions only at a duly called annual or special meeting and not by unanimous written consent;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prohibit stockholders from calling a special meeting of stockholders;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require that stockholders give advance notice to nominate directors or submit proposals for consideration at stockholder meetings;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authorize our board of directors, by a majority vote, to amend certain provisions of the bylaws;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require the affirmative vote of at least 66 2/3% or more of the outstanding shares of common stock to amend many of the provisions described above.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Section 203 of the General Corporation Law of the State of Delaware (DGCL) prohibits a publicly-held Delaware corporation from engaging in a business combination with an interested stockholder, which is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unless we consent in writing to the selection of an alternative forum, the Court of Chancery of the State of Delaware will be the exclusive forum for the following types of actions or proceedings under Delaware statutory or common law:</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any derivative action or proceeding brought on our behalf;</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any action asserting a claim of breach of a fiduciary duty owed by any of our directors, officers or other employees, or stockholders to us or our stockholders;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any action asserting a claim arising pursuant to any provision of the DGCL or our amended and restated certificate of incorporation and bylaws;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any action asserting a claim governed by the internal affairs doctrine.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22885"/>
                <wp:effectExtent l="0" t="0" r="0" b="0"/>
                <wp:wrapNone/>
                <wp:docPr id="88" name="Frame7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to prevent having to litigate claims in multiple jurisdictions and the threat of inconsistent or contrary rulings by different courts, among other considerations, our amended and restated certificate of incorporation also provides that unless we consent in writing to the selection of an alternative forum, the federal district courts of the United States will be the exclusive forum for the resolution of any complaint asserting a cause of action arising under the Securities Act. However, these provisions would not apply to suits brought to enforce a duty or liability created by the Exchange Act or any other claim for which the federal courts have exclusive jurisdiction. Any person purchasing or otherwise acquiring or holding any interest in shares of our capital stock is deemed to have received notice of and consented to the foregoing provisions. These choice of forum provisions may limit a stockholder’s ability to bring a claim in a judicial forum that it finds more favorable for disputes with us or with our directors, officers, other employees or agents or our other stockholders, which may discourage such lawsuits against us and such other persons, or may result in additional expense to a stockholder seeking to bring a claim against us. Alternatively, if a court were to find this choice of forum provision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Changes in tax laws or regulations, including those that are applied adversely to us or our customers, may have a material adverse effect on our business, cash flow, financial condition, results of operations, effective tax rate or compliance costs.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New income, sales, use or other tax laws, statutes, rules, regulations or ordinances could be enacted at any time (including in connection with reforms under consideration or being implemented at an international level by the Organisation for Economic Co-Operation and Development (the OECD)), which could adversely affect our business operations and financial performance. Further, existing tax laws, statutes, rules, regulations or ordinances could be interpreted, changed, modified or applied adversely to us, and tax authorities may disagree with tax positions that we have taken, which could, in each case, result in increased tax liabilities. For example, the Tax Act, the CARES Act and the Inflation Reduction Act of 2022 made many significant changes to the U.S. tax laws. For example, the Tax Act made broad and complex changes to the U.S. tax code, including, among other things, reducing the federal corporate tax rate. Additionally, beginning in 2022, the Tax Act required the capitalization of research and experimentation expenses (R&amp;E expenses) with amortization periods over five and fifteen years pursuant to Section 174 of the Code. The OBBBA restored the deductibility of domestic R&amp;E expenses in the year incurred for tax years beginning after December 31, 2024, but retained the capitalization and amortization requirement for foreign R&amp;E expenses. Future guidance from the U.S. Internal Revenue Service and other tax authorities with respect to any such tax legislation may affect us, and certain aspects of prior tax legislation could be repealed or modified in future legislation. Changes in corporate tax rates, the realization of net deferred tax assets relating to our U.S. operations and the deductibility of expenses under current tax law or future tax reform legislation could have a material impact on the value of our deferred tax assets, could result in significant one-time charges in the current or future taxable years and could increase our future U.S. tax expense. The foregoing items, as well as any other future changes in tax laws (whether at the initiative of the U.S. government or international bodies, such as the OECD), could have a material adverse effect on our business, cash flow, financial condition, results of operations, effective tax rate or compliance costs.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Unstable market, economic and geopolitical conditions may have serious adverse consequences on our business, financial condition and stock price.*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global credit and financial markets have experienced extreme volatility and disruptions (including as a result of tariffs and recession concerns), which included severely diminished liquidity and credit availability, elevated inflationary pressures and interest rate volatility, declines in consumer confidence, slower economic growth, uncertainty about economic stability and swings in unemployment rates. The financial markets and the global economy may also be adversely affected by the impact of tariffs, supply chain disruptions, labor shortages, fluctuations in currency exchange rates, changes in interest rates, military conflict, acts of terrorism or other geopolitical events. Sanctions imposed, and other actions taken, by the United States and other countries in geopolitical conflicts may also adversely impact the financial markets and the global economy, and any economic countermeasures by the affected countries or others could exacerbate market and economic instability. Deterioration in credit and financial markets and confidence in economic conditions may occur. Our general business strategy may be adversely affected by any such economic downturn, volatile business environment or continued unpredictable and unstable market conditions, including disruption to enrollment within our ongoing or planned trials and our ability to purchase necessary supplies on acceptable terms, if at all.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22885"/>
                <wp:effectExtent l="0" t="0" r="0" b="0"/>
                <wp:wrapNone/>
                <wp:docPr id="89" name="Frame8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partners may not survive an economic downturn or rising inflation, which could directly affect our ability to attain our operating goals on schedule and on budget.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international and geopolitical events could also have a serious adverse impact on our business. While we cannot predict the broader consequences, these conflicts and retaliatory and counter-retaliatory actions could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Adverse developments affecting the financial services industry could adversely affect our current and projected business operations and our financial condition and results of operations.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Adverse developments that affect financial institutions, such as events involving liquidity that are rumored or actual, have in the past and may in the future lead to bank failures and market-wide liquidity problems. For example, in March 2023, Silicon Valley Bank (SVB) was closed by the California Department of Financial Protection and Innovation, which appointed the Federal Deposit Insurance Corporation (FDIC) as receiver. Similarly, later in March 2023, Signature Bank and Silvergate Capital Corp. were each swept into receivership. In addition, on May 1, 2023, the FDIC seized First Republic Bank and sold its assets to JPMorgan Chase &amp; Co. While the U.S. Department of Treasury, FDIC and Federal Reserve Board have implemented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 liquidity may exceed the capacity of such program, and there is no guarantee that such programs will be sufficient. Additionally, it is uncertain whether the U.S. Department of Treasury, FDIC and Federal Reserve Board will provide access to uninsured funds in the future in the event of the closure of other banks or financial institutions, or that they would do so in a timely fashion.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we have not experienced any adverse impact to our liquidity or to our current and projected business operations, financial condition or results of operations as a result of the matters relating to SVB, Signature Bank, Silvergate Capital Corp and First Republic Bank, uncertainty remains over liquidity concerns in the broader financial services industry, and our business, our business partners or industry as a whole may be adversely impacted in ways that we cannot predict at this time.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and, in turn, us.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22885"/>
                <wp:effectExtent l="0" t="0" r="0" b="0"/>
                <wp:wrapNone/>
                <wp:docPr id="90" name="Frame8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2026, none of our officers (as defined in Rule 16a-1(f) under the Exchange Act) or directors adopted or terminated a Rule 10b5</w:t>
        <w:noBreakHyphen/>
        <w:t>1 trading arrangement or non-Rule 10b5-1 trading arrangement as defined in Item 408(a) and (c) of Regulation S-K,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22885"/>
                <wp:effectExtent l="0" t="0" r="0" b="0"/>
                <wp:wrapNone/>
                <wp:docPr id="91" name="Frame8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1"/>
        <w:gridCol w:w="247"/>
        <w:gridCol w:w="248"/>
        <w:gridCol w:w="109"/>
        <w:gridCol w:w="109"/>
        <w:gridCol w:w="109"/>
        <w:gridCol w:w="1106"/>
        <w:gridCol w:w="1052"/>
        <w:gridCol w:w="1062"/>
        <w:gridCol w:w="109"/>
        <w:gridCol w:w="109"/>
        <w:gridCol w:w="109"/>
        <w:gridCol w:w="191"/>
        <w:gridCol w:w="191"/>
        <w:gridCol w:w="192"/>
        <w:gridCol w:w="122"/>
        <w:gridCol w:w="122"/>
        <w:gridCol w:w="122"/>
        <w:gridCol w:w="332"/>
        <w:gridCol w:w="292"/>
        <w:gridCol w:w="293"/>
        <w:gridCol w:w="122"/>
        <w:gridCol w:w="122"/>
        <w:gridCol w:w="122"/>
        <w:gridCol w:w="309"/>
        <w:gridCol w:w="309"/>
        <w:gridCol w:w="311"/>
        <w:gridCol w:w="122"/>
        <w:gridCol w:w="122"/>
        <w:gridCol w:w="122"/>
        <w:gridCol w:w="240"/>
        <w:gridCol w:w="240"/>
        <w:gridCol w:w="241"/>
        <w:gridCol w:w="122"/>
        <w:gridCol w:w="122"/>
        <w:gridCol w:w="122"/>
        <w:gridCol w:w="272"/>
        <w:gridCol w:w="272"/>
        <w:gridCol w:w="406"/>
      </w:tblGrid>
      <w:tr>
        <w:trPr/>
        <w:tc>
          <w:tcPr>
            <w:tcW w:w="28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7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Exhibit/</w:t>
              <w:br/>
              <w:t>Appendix</w:t>
              <w:br/>
              <w:t>Reference</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Filing</w:t>
              <w:br/>
              <w:t>Date</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Filed</w:t>
              <w:br/>
              <w:t>Herewith</w:t>
            </w:r>
          </w:p>
        </w:tc>
      </w:tr>
      <w:tr>
        <w:trPr/>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left"/>
              <w:rPr/>
            </w:pPr>
            <w:hyperlink r:id="rId11">
              <w:r>
                <w:rPr>
                  <w:rStyle w:val="InternetLink"/>
                  <w:rFonts w:ascii="Times New Roman;serif" w:hAnsi="Times New Roman;serif"/>
                  <w:b w:val="false"/>
                  <w:color w:val="0000FF"/>
                  <w:sz w:val="20"/>
                  <w:u w:val="single"/>
                </w:rPr>
                <w:t>Agreement and Plan of Merger, dated as of October 24, 2024, by and among the Registrant, ImmPACT Bio USA Inc., Inspire Merger Sub Inc. and WT Representative LLC, solely in its capacity as the Representative.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001-40502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10/24/2024</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r:id="rId12">
              <w:r>
                <w:rPr>
                  <w:rStyle w:val="InternetLink"/>
                  <w:rFonts w:ascii="Times New Roman;serif" w:hAnsi="Times New Roman;serif"/>
                  <w:b w:val="false"/>
                  <w:color w:val="0000FF"/>
                  <w:sz w:val="20"/>
                  <w:u w:val="single"/>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S-8</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333-257249</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06/21/2021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r:id="rId13">
              <w:r>
                <w:rPr>
                  <w:rStyle w:val="InternetLink"/>
                  <w:rFonts w:ascii="Times New Roman;serif" w:hAnsi="Times New Roman;serif"/>
                  <w:b w:val="false"/>
                  <w:color w:val="0000FF"/>
                  <w:sz w:val="20"/>
                  <w:u w:val="single"/>
                </w:rPr>
                <w:t>Certificate of Amendment of the Amended and Restated Certificate of Incorporation of Lyell Immunopharma,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001-40502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05/28/2025</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r:id="rId14">
              <w:r>
                <w:rPr>
                  <w:rStyle w:val="InternetLink"/>
                  <w:rFonts w:ascii="Times New Roman;serif" w:hAnsi="Times New Roman;serif"/>
                  <w:b w:val="false"/>
                  <w:color w:val="0000FF"/>
                  <w:sz w:val="20"/>
                  <w:u w:val="single"/>
                </w:rPr>
                <w:t>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001-40502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12/05/2025</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r:id="rId15">
              <w:r>
                <w:rPr>
                  <w:rStyle w:val="InternetLink"/>
                  <w:rFonts w:ascii="Times New Roman;serif" w:hAnsi="Times New Roman;serif"/>
                  <w:b w:val="false"/>
                  <w:color w:val="0000FF"/>
                  <w:sz w:val="20"/>
                  <w:u w:val="single"/>
                </w:rPr>
                <w:t>Form of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001-40502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08/12/2025</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r:id="rId16">
              <w:r>
                <w:rPr>
                  <w:rStyle w:val="InternetLink"/>
                  <w:rFonts w:ascii="Times New Roman;serif" w:hAnsi="Times New Roman;serif"/>
                  <w:b w:val="false"/>
                  <w:color w:val="0000FF"/>
                  <w:sz w:val="20"/>
                  <w:u w:val="single"/>
                </w:rPr>
                <w:t>Amended and Restated Investors' Rights Agreement, by and among the Registrant and certain of its stockholders, dated March 5, 2020</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333-256470</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05/25/2021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r:id="rId17">
              <w:r>
                <w:rPr>
                  <w:rStyle w:val="InternetLink"/>
                  <w:rFonts w:ascii="Times New Roman;serif" w:hAnsi="Times New Roman;serif"/>
                  <w:b w:val="false"/>
                  <w:color w:val="0000FF"/>
                  <w:sz w:val="20"/>
                  <w:u w:val="single"/>
                </w:rPr>
                <w:t>Offer Letter by and between the Registrant and Smital Shah, dated March 3,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001-40502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03/09/2026</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ex-102_lyellimmunopharmain.htm">
              <w:r>
                <w:rPr>
                  <w:rStyle w:val="InternetLink"/>
                  <w:rFonts w:ascii="Times New Roman;serif" w:hAnsi="Times New Roman;serif"/>
                  <w:b w:val="false"/>
                  <w:color w:val="000080"/>
                  <w:sz w:val="20"/>
                  <w:u w:val="single"/>
                </w:rPr>
                <w:t>Lyell Immunopharma, Inc. Non-</w:t>
              </w:r>
            </w:hyperlink>
            <w:hyperlink w:anchor="ex-102_lyellimmunopharmain.htm">
              <w:r>
                <w:rPr>
                  <w:rStyle w:val="InternetLink"/>
                  <w:rFonts w:ascii="Times New Roman;serif" w:hAnsi="Times New Roman;serif"/>
                  <w:b w:val="false"/>
                  <w:color w:val="000080"/>
                  <w:sz w:val="20"/>
                  <w:u w:val="single"/>
                </w:rPr>
                <w:t xml:space="preserve">Employee Director Compensation </w:t>
              </w:r>
            </w:hyperlink>
            <w:hyperlink w:anchor="ex-102_lyellimmunopharmain.htm">
              <w:r>
                <w:rPr>
                  <w:rStyle w:val="InternetLink"/>
                  <w:rFonts w:ascii="Times New Roman;serif" w:hAnsi="Times New Roman;serif"/>
                  <w:b w:val="false"/>
                  <w:color w:val="000080"/>
                  <w:sz w:val="20"/>
                  <w:u w:val="single"/>
                </w:rPr>
                <w:t>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lyel-20260331x10qxexx311.htm">
              <w:r>
                <w:rPr>
                  <w:rStyle w:val="InternetLink"/>
                  <w:rFonts w:ascii="Times New Roman;serif" w:hAnsi="Times New Roman;serif"/>
                  <w:b w:val="false"/>
                  <w:color w:val="000080"/>
                  <w:sz w:val="20"/>
                  <w:u w:val="single"/>
                </w:rPr>
                <w:t>Certification of Principal Executive Officer</w:t>
              </w:r>
            </w:hyperlink>
            <w:hyperlink w:anchor="lyel-20260331x10qxexx311.htm">
              <w:r>
                <w:rPr>
                  <w:rStyle w:val="InternetLink"/>
                  <w:rFonts w:ascii="Times New Roman;serif" w:hAnsi="Times New Roman;serif"/>
                  <w:b w:val="false"/>
                  <w:color w:val="000080"/>
                  <w:sz w:val="20"/>
                  <w:u w:val="single"/>
                </w:rPr>
                <w:t xml:space="preserve"> Pursuant to Rules 13a-14(a) and 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lyel-20260331x10qxexx312.htm">
              <w:r>
                <w:rPr>
                  <w:rStyle w:val="InternetLink"/>
                  <w:rFonts w:ascii="Times New Roman;serif" w:hAnsi="Times New Roman;serif"/>
                  <w:b w:val="false"/>
                  <w:color w:val="000080"/>
                  <w:sz w:val="20"/>
                  <w:u w:val="single"/>
                </w:rPr>
                <w:t xml:space="preserve">Certification of Principal </w:t>
              </w:r>
            </w:hyperlink>
            <w:hyperlink w:anchor="lyel-20260331x10qxexx312.htm">
              <w:r>
                <w:rPr>
                  <w:rStyle w:val="InternetLink"/>
                  <w:rFonts w:ascii="Times New Roman;serif" w:hAnsi="Times New Roman;serif"/>
                  <w:b w:val="false"/>
                  <w:color w:val="000080"/>
                  <w:sz w:val="20"/>
                  <w:u w:val="single"/>
                </w:rPr>
                <w:t>Financial</w:t>
              </w:r>
            </w:hyperlink>
            <w:hyperlink w:anchor="lyel-20260331x10qxexx312.htm">
              <w:r>
                <w:rPr>
                  <w:rStyle w:val="InternetLink"/>
                  <w:rFonts w:ascii="Times New Roman;serif" w:hAnsi="Times New Roman;serif"/>
                  <w:b w:val="false"/>
                  <w:color w:val="000080"/>
                  <w:sz w:val="20"/>
                  <w:u w:val="single"/>
                </w:rPr>
                <w:t xml:space="preserve"> Officer Pursuant to Rules 13a-14(a) and 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76"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lyel-20260331x10qxexx321.htm">
              <w:r>
                <w:rPr>
                  <w:rStyle w:val="InternetLink"/>
                  <w:rFonts w:ascii="Times New Roman;serif" w:hAnsi="Times New Roman;serif"/>
                  <w:b w:val="false"/>
                  <w:color w:val="000080"/>
                  <w:sz w:val="20"/>
                  <w:u w:val="single"/>
                </w:rPr>
                <w:t xml:space="preserve">Certification of Principal Executive Officer and </w:t>
              </w:r>
            </w:hyperlink>
            <w:hyperlink w:anchor="lyel-20260331x10qxexx321.htm">
              <w:r>
                <w:rPr>
                  <w:rStyle w:val="InternetLink"/>
                  <w:rFonts w:ascii="Times New Roman;serif" w:hAnsi="Times New Roman;serif"/>
                  <w:b w:val="false"/>
                  <w:color w:val="000080"/>
                  <w:sz w:val="20"/>
                  <w:u w:val="single"/>
                </w:rPr>
                <w:t>Principal Financial Officer Pursuant to 18 U.S.C. Section 1350</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5" w:type="dxa"/>
            <w:gridSpan w:val="27"/>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The XBRL instance document does not appear in the Interactive Data File because its XBRL tags are embedded within the Inline XBRL document.</w:t>
            </w:r>
          </w:p>
        </w:tc>
      </w:tr>
      <w:tr>
        <w:trPr/>
        <w:tc>
          <w:tcPr>
            <w:tcW w:w="7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288" w:before="120" w:after="2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Indicates management contract or compensatory plan or arrangement.</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The certification attached as Exhibit 32.1 that accompanies this Quarterly Report on Form 10-Q is not deemed filed with the Securities and Exchange Commission and is not to be incorporated by reference into any filing of the Company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120" w:after="283"/>
        <w:jc w:val="left"/>
        <w:rPr/>
      </w:pPr>
      <w:hyperlink w:anchor="ie27772b0638d4574b521c86d23d7a409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36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002" w:type="dxa"/>
        <w:jc w:val="left"/>
        <w:tblInd w:w="0" w:type="dxa"/>
        <w:tblLayout w:type="fixed"/>
        <w:tblCellMar>
          <w:top w:w="28" w:type="dxa"/>
          <w:left w:w="28" w:type="dxa"/>
          <w:bottom w:w="28" w:type="dxa"/>
          <w:right w:w="28" w:type="dxa"/>
        </w:tblCellMar>
      </w:tblPr>
      <w:tblGrid>
        <w:gridCol w:w="591"/>
        <w:gridCol w:w="520"/>
        <w:gridCol w:w="523"/>
        <w:gridCol w:w="381"/>
        <w:gridCol w:w="381"/>
        <w:gridCol w:w="381"/>
        <w:gridCol w:w="944"/>
        <w:gridCol w:w="944"/>
        <w:gridCol w:w="133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8"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Lyell Immunopharma,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1143"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25"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/s/ SMITAL SHAH</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Smital Shah</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312" w:before="14" w:after="283"/>
              <w:jc w:val="center"/>
              <w:rPr>
                <w:rFonts w:ascii="Times New Roman;serif" w:hAnsi="Times New Roman;serif"/>
                <w:b/>
                <w:color w:val="000000"/>
                <w:sz w:val="20"/>
              </w:rPr>
            </w:pPr>
            <w:r>
              <w:rPr>
                <w:rFonts w:ascii="Times New Roman;serif" w:hAnsi="Times New Roman;serif"/>
                <w:b/>
                <w:color w:val="000000"/>
                <w:sz w:val="20"/>
              </w:rPr>
              <w:t>Chief Financial and Business Officer</w:t>
            </w:r>
          </w:p>
          <w:p>
            <w:pPr>
              <w:pStyle w:val="TableContents"/>
              <w:bidi w:val="0"/>
              <w:spacing w:lineRule="auto" w:line="312" w:before="14" w:after="283"/>
              <w:jc w:val="center"/>
              <w:rPr>
                <w:rFonts w:ascii="Times New Roman;serif" w:hAnsi="Times New Roman;serif"/>
                <w:b/>
                <w:color w:val="000000"/>
                <w:sz w:val="20"/>
              </w:rPr>
            </w:pPr>
            <w:r>
              <w:rPr>
                <w:rFonts w:ascii="Times New Roman;serif" w:hAnsi="Times New Roman;serif"/>
                <w:b/>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22885"/>
                <wp:effectExtent l="0" t="0" r="0" b="0"/>
                <wp:wrapNone/>
                <wp:docPr id="94" name="Frame8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Lyell Immunopharma, Inc.</w:t>
        <w:br/>
        <w:t>Non-Employee Director Compensation Policy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Adopted by the Board of Directors: November 11, 2019</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Last Amended and Restated: April 9, 2026, to be effective June 10,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Effective Date: June 10, 2026</w:t>
      </w:r>
    </w:p>
    <w:p>
      <w:pPr>
        <w:pStyle w:val="TextBody"/>
        <w:bidi w:val="0"/>
        <w:spacing w:before="0" w:after="24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0"/>
        </w:rPr>
        <w:t>Each member of the Board of Directors (the “</w:t>
      </w:r>
      <w:r>
        <w:rPr>
          <w:rFonts w:ascii="Times New Roman;serif" w:hAnsi="Times New Roman;serif"/>
          <w:b/>
          <w:i/>
          <w:color w:val="000000"/>
          <w:sz w:val="20"/>
        </w:rPr>
        <w:t>Board</w:t>
      </w:r>
      <w:r>
        <w:rPr>
          <w:color w:val="000000"/>
        </w:rPr>
        <w:t>”</w:t>
      </w:r>
      <w:r>
        <w:rPr>
          <w:rFonts w:ascii="Times New Roman;serif" w:hAnsi="Times New Roman;serif"/>
          <w:b w:val="false"/>
          <w:color w:val="000000"/>
          <w:sz w:val="20"/>
        </w:rPr>
        <w:t>) of Lyell Immunopharma,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who is a non-employee director of the Company (each such member, an “</w:t>
      </w:r>
      <w:r>
        <w:rPr>
          <w:rFonts w:ascii="Times New Roman;serif" w:hAnsi="Times New Roman;serif"/>
          <w:b/>
          <w:i/>
          <w:color w:val="000000"/>
          <w:sz w:val="20"/>
        </w:rPr>
        <w:t>Eligible Director</w:t>
      </w:r>
      <w:r>
        <w:rPr>
          <w:color w:val="000000"/>
        </w:rPr>
        <w:t>”</w:t>
      </w:r>
      <w:r>
        <w:rPr>
          <w:rFonts w:ascii="Times New Roman;serif" w:hAnsi="Times New Roman;serif"/>
          <w:b w:val="false"/>
          <w:color w:val="000000"/>
          <w:sz w:val="20"/>
        </w:rPr>
        <w:t>) will receive the compensation described in this Non-Employee Director Compensation Policy (this “</w:t>
      </w:r>
      <w:r>
        <w:rPr>
          <w:rFonts w:ascii="Times New Roman;serif" w:hAnsi="Times New Roman;serif"/>
          <w:b/>
          <w:i/>
          <w:color w:val="000000"/>
          <w:sz w:val="20"/>
        </w:rPr>
        <w:t>Policy</w:t>
      </w:r>
      <w:r>
        <w:rPr>
          <w:color w:val="000000"/>
        </w:rPr>
        <w:t>”</w:t>
      </w:r>
      <w:r>
        <w:rPr>
          <w:rFonts w:ascii="Times New Roman;serif" w:hAnsi="Times New Roman;serif"/>
          <w:b w:val="false"/>
          <w:color w:val="000000"/>
          <w:sz w:val="20"/>
        </w:rPr>
        <w:t>) for his or her Board service. Unless otherwise defined herein, capitalized terms used in this Policy will have the meaning given to such terms in the Company’s 2021 Equity Incentive Plan or if such plan is no longer in use, the meaning given to such terms or any similar terms in the primary successor to such plan (in either case,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rFonts w:ascii="Times New Roman;serif" w:hAnsi="Times New Roman;serif"/>
          <w:b w:val="false"/>
          <w:color w:val="000000"/>
          <w:sz w:val="20"/>
        </w:rPr>
        <w:t>This Policy is amended and restated effective upon June 10, 2026 (the “</w:t>
      </w:r>
      <w:r>
        <w:rPr>
          <w:rFonts w:ascii="Times New Roman;serif" w:hAnsi="Times New Roman;serif"/>
          <w:b/>
          <w:i/>
          <w:color w:val="000000"/>
          <w:sz w:val="20"/>
        </w:rPr>
        <w:t>Effective Date</w:t>
      </w:r>
      <w:r>
        <w:rPr>
          <w:color w:val="000000"/>
        </w:rPr>
        <w:t>”</w:t>
      </w:r>
      <w:r>
        <w:rPr>
          <w:rFonts w:ascii="Times New Roman;serif" w:hAnsi="Times New Roman;serif"/>
          <w:b w:val="false"/>
          <w:color w:val="000000"/>
          <w:sz w:val="20"/>
        </w:rPr>
        <w: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Annual Cash Compensation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Each Eligible Director will receive the cash compensation described below. The annual cash compensation amount set forth below is payable in equal quarterly installments, payable in arrears on the last day of each fiscal quarter in which the service occurred. If an Eligible Director joins the Board at a time other than effective as of the first day of a fiscal quarter, each annual retainer set forth below will be pro-rated based on days served in the applicable fiscal year, with the pro-rated amount paid for the first fiscal quarter in which the Eligible Director provides the service, and regular full quarterly payments thereafter. All annual cash retainer fees are vested upon payment. </w:t>
      </w:r>
    </w:p>
    <w:p>
      <w:pPr>
        <w:pStyle w:val="TextBody"/>
        <w:bidi w:val="0"/>
        <w:spacing w:lineRule="auto" w:line="240" w:before="0" w:after="240"/>
        <w:ind w:left="0" w:right="0" w:hanging="720"/>
        <w:jc w:val="both"/>
        <w:rPr/>
      </w:pPr>
      <w:r>
        <w:rPr>
          <w:rFonts w:ascii="Times New Roman;serif" w:hAnsi="Times New Roman;serif"/>
          <w:b w:val="false"/>
          <w:color w:val="000000"/>
          <w:sz w:val="20"/>
        </w:rPr>
        <w:t>1.</w:t>
      </w:r>
      <w:r>
        <w:rPr>
          <w:rFonts w:ascii="Times New Roman;serif" w:hAnsi="Times New Roman;serif"/>
          <w:b w:val="false"/>
          <w:color w:val="000000"/>
          <w:sz w:val="20"/>
          <w:u w:val="single"/>
        </w:rPr>
        <w:t>Annual Board Service Retainer</w:t>
      </w:r>
      <w:r>
        <w:rPr>
          <w:rFonts w:ascii="Times New Roman;serif" w:hAnsi="Times New Roman;serif"/>
          <w:b w:val="false"/>
          <w:color w:val="000000"/>
          <w:sz w:val="20"/>
        </w:rPr>
        <w:t>:</w:t>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Eligible Directors other than Lead Director/Chair: $50,000</w:t>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b.Lead Director: $80,000</w:t>
      </w:r>
    </w:p>
    <w:p>
      <w:pPr>
        <w:pStyle w:val="TextBody"/>
        <w:bidi w:val="0"/>
        <w:spacing w:lineRule="auto" w:line="240"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c.Chair: $85,000</w:t>
      </w:r>
    </w:p>
    <w:p>
      <w:pPr>
        <w:pStyle w:val="TextBody"/>
        <w:bidi w:val="0"/>
        <w:spacing w:lineRule="auto" w:line="240" w:before="0" w:after="240"/>
        <w:ind w:left="0" w:right="0" w:hanging="720"/>
        <w:jc w:val="both"/>
        <w:rPr/>
      </w:pPr>
      <w:r>
        <w:rPr>
          <w:rFonts w:ascii="Times New Roman;serif" w:hAnsi="Times New Roman;serif"/>
          <w:b w:val="false"/>
          <w:color w:val="000000"/>
          <w:sz w:val="20"/>
        </w:rPr>
        <w:t>2.</w:t>
      </w:r>
      <w:r>
        <w:rPr>
          <w:rFonts w:ascii="Times New Roman;serif" w:hAnsi="Times New Roman;serif"/>
          <w:b w:val="false"/>
          <w:color w:val="000000"/>
          <w:sz w:val="20"/>
          <w:u w:val="single"/>
        </w:rPr>
        <w:t>Annual Committee Service Retainer (Chair)</w:t>
      </w:r>
      <w:r>
        <w:rPr>
          <w:rFonts w:ascii="Times New Roman;serif" w:hAnsi="Times New Roman;serif"/>
          <w:b w:val="false"/>
          <w:color w:val="000000"/>
          <w:sz w:val="20"/>
        </w:rPr>
        <w:t>:</w:t>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a.Chair of the Audit Committee: $20,000</w:t>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b.Chair of the Compensation Committee: $15,000</w:t>
      </w:r>
    </w:p>
    <w:p>
      <w:pPr>
        <w:pStyle w:val="TextBody"/>
        <w:bidi w:val="0"/>
        <w:spacing w:lineRule="auto" w:line="240"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c.Chair of the Nominating and Corporate Governance Committee: $10,000</w:t>
      </w:r>
    </w:p>
    <w:p>
      <w:pPr>
        <w:pStyle w:val="TextBody"/>
        <w:bidi w:val="0"/>
        <w:spacing w:lineRule="auto" w:line="240" w:before="0" w:after="240"/>
        <w:ind w:left="0" w:right="0" w:hanging="720"/>
        <w:jc w:val="both"/>
        <w:rPr/>
      </w:pPr>
      <w:r>
        <w:rPr>
          <w:rFonts w:ascii="Times New Roman;serif" w:hAnsi="Times New Roman;serif"/>
          <w:b w:val="false"/>
          <w:color w:val="000000"/>
          <w:sz w:val="20"/>
        </w:rPr>
        <w:t>3.</w:t>
      </w:r>
      <w:r>
        <w:rPr>
          <w:rFonts w:ascii="Times New Roman;serif" w:hAnsi="Times New Roman;serif"/>
          <w:b w:val="false"/>
          <w:color w:val="000000"/>
          <w:sz w:val="20"/>
          <w:u w:val="single"/>
        </w:rPr>
        <w:t>Annual Committee Service Retainer (Non-Chair)</w:t>
      </w:r>
      <w:r>
        <w:rPr>
          <w:rFonts w:ascii="Times New Roman;serif" w:hAnsi="Times New Roman;serif"/>
          <w:b w:val="false"/>
          <w:color w:val="000000"/>
          <w:sz w:val="20"/>
        </w:rPr>
        <w:t>:</w:t>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a.Audit Committee: $10,000</w:t>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b.Compensation Committee: $7,500 </w:t>
      </w:r>
    </w:p>
    <w:p>
      <w:pPr>
        <w:pStyle w:val="TextBody"/>
        <w:bidi w:val="0"/>
        <w:spacing w:lineRule="auto" w:line="240"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c.Nominating and Corporate Governance Committee: $5,000 </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Equity Compensation</w:t>
      </w:r>
    </w:p>
    <w:p>
      <w:pPr>
        <w:pStyle w:val="TextBody"/>
        <w:bidi w:val="0"/>
        <w:spacing w:lineRule="auto" w:line="288" w:before="0" w:after="240"/>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Each Eligible Director will be eligible to receive the equity compensation set forth below. The equity compensation below will be granted under the Plan and the Company’s standard form of Option Agreement most recently approved by the Board or the Compensation Committee. All Options granted under this Policy will be Nonstatutory Stock Options, with a maximum term of ten years from the date of grant and an exercise price per share equal to 100% of the Fair Market Value of the underlying Common Stock on the date of grant.</w:t>
      </w:r>
    </w:p>
    <w:p>
      <w:pPr>
        <w:pStyle w:val="TextBody"/>
        <w:bidi w:val="0"/>
        <w:spacing w:lineRule="auto" w:line="288" w:before="0" w:after="240"/>
        <w:ind w:left="0" w:right="0" w:hanging="720"/>
        <w:jc w:val="both"/>
        <w:rPr/>
      </w:pPr>
      <w:r>
        <w:rPr>
          <w:rFonts w:ascii="Times New Roman;serif" w:hAnsi="Times New Roman;serif"/>
          <w:b w:val="false"/>
          <w:color w:val="000000"/>
          <w:sz w:val="20"/>
        </w:rPr>
        <w:t>1.     </w:t>
      </w:r>
      <w:r>
        <w:rPr>
          <w:rFonts w:ascii="Times New Roman;serif" w:hAnsi="Times New Roman;serif"/>
          <w:b w:val="false"/>
          <w:color w:val="000000"/>
          <w:sz w:val="20"/>
          <w:u w:val="single"/>
        </w:rPr>
        <w:t>Appointment Grant</w:t>
      </w:r>
      <w:r>
        <w:rPr>
          <w:rFonts w:ascii="Times New Roman;serif" w:hAnsi="Times New Roman;serif"/>
          <w:b w:val="false"/>
          <w:color w:val="000000"/>
          <w:sz w:val="20"/>
        </w:rPr>
        <w:t>. Without any further action of the Board, each person who is elected or appointed for the first time to be an Eligible Director will automatically, upon the date of his or her initial election or appointment to be an Eligible Director, be granted the lesser of (i) a Nonstatutory Stock Option to purchase shares of Common Stock calculated to have a Black-Scholes value of $500,000 on the date of grant, rounded to the nearest whole number; and (ii) a Nonstatutory Stock Option to purchase 18,500 shares of Common Stock (an “</w:t>
      </w:r>
      <w:r>
        <w:rPr>
          <w:rFonts w:ascii="Times New Roman;serif" w:hAnsi="Times New Roman;serif"/>
          <w:b/>
          <w:i/>
          <w:color w:val="000000"/>
          <w:sz w:val="20"/>
        </w:rPr>
        <w:t>Appointment Grant”</w:t>
      </w:r>
      <w:r>
        <w:rPr>
          <w:rFonts w:ascii="Times New Roman;serif" w:hAnsi="Times New Roman;serif"/>
          <w:b w:val="false"/>
          <w:color w:val="000000"/>
          <w:sz w:val="20"/>
        </w:rPr>
        <w:t>). Each Appointment Grant will vest as to one thirty</w:t>
        <w:noBreakHyphen/>
        <w:t xml:space="preserve">sixth (1/36th) of the shares of Common Stock subject to the Appointment Grant on a monthly basis following the Appointment Grant’s grant date on the same day of the month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2240"/>
                <wp:effectExtent l="0" t="0" r="0" b="0"/>
                <wp:wrapNone/>
                <wp:docPr id="95" name="Frame86"/>
                <a:graphic xmlns:a="http://schemas.openxmlformats.org/drawingml/2006/main">
                  <a:graphicData uri="http://schemas.microsoft.com/office/word/2010/wordprocessingShape">
                    <wps:wsp>
                      <wps:cNvSpPr txBox="1"/>
                      <wps:spPr>
                        <a:xfrm>
                          <a:off x="0" y="0"/>
                          <a:ext cx="6480175" cy="142240"/>
                        </a:xfrm>
                        <a:prstGeom prst="rect"/>
                        <a:solidFill>
                          <a:srgbClr val="FFFFFF"/>
                        </a:solidFill>
                      </wps:spPr>
                      <wps:txbx>
                        <w:txbxContent>
                          <w:p>
                            <w:pPr>
                              <w:pStyle w:val="TextBody"/>
                              <w:bidi w:val="0"/>
                              <w:spacing w:lineRule="auto" w:line="232"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32"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such grant date (or on the last day of the month, if there is no corresponding day in such month), subject to the Eligible Director remaining in Continuous Service through the applicable vesting date.</w:t>
      </w:r>
    </w:p>
    <w:p>
      <w:pPr>
        <w:pStyle w:val="TextBody"/>
        <w:bidi w:val="0"/>
        <w:spacing w:lineRule="auto" w:line="288" w:before="0" w:after="240"/>
        <w:ind w:left="0" w:right="0" w:hanging="720"/>
        <w:jc w:val="both"/>
        <w:rPr/>
      </w:pPr>
      <w:r>
        <w:rPr>
          <w:rFonts w:ascii="Times New Roman;serif" w:hAnsi="Times New Roman;serif"/>
          <w:b w:val="false"/>
          <w:color w:val="000000"/>
          <w:sz w:val="20"/>
        </w:rPr>
        <w:t>2.    </w:t>
      </w:r>
      <w:r>
        <w:rPr>
          <w:rFonts w:ascii="Times New Roman;serif" w:hAnsi="Times New Roman;serif"/>
          <w:b w:val="false"/>
          <w:color w:val="000000"/>
          <w:sz w:val="20"/>
          <w:u w:val="single"/>
        </w:rPr>
        <w:t>Annual Grant</w:t>
      </w:r>
      <w:r>
        <w:rPr>
          <w:rFonts w:ascii="Times New Roman;serif" w:hAnsi="Times New Roman;serif"/>
          <w:b w:val="false"/>
          <w:color w:val="000000"/>
          <w:sz w:val="20"/>
        </w:rPr>
        <w:t>. Without any further action of the Board, at the close of business on the date of each annual meeting of stockholders of the Company (each, an “</w:t>
      </w:r>
      <w:r>
        <w:rPr>
          <w:rFonts w:ascii="Times New Roman;serif" w:hAnsi="Times New Roman;serif"/>
          <w:b/>
          <w:i/>
          <w:color w:val="000000"/>
          <w:sz w:val="20"/>
        </w:rPr>
        <w:t>Annual Meeting</w:t>
      </w:r>
      <w:r>
        <w:rPr>
          <w:color w:val="000000"/>
        </w:rPr>
        <w:t>”</w:t>
      </w:r>
      <w:r>
        <w:rPr>
          <w:rFonts w:ascii="Times New Roman;serif" w:hAnsi="Times New Roman;serif"/>
          <w:b w:val="false"/>
          <w:color w:val="000000"/>
          <w:sz w:val="20"/>
        </w:rPr>
        <w:t>), each person who is then an Eligible Director will automatically be granted the lesser of (i) a Nonstatutory Stock Option to purchase shares of Common Stock calculated to have a Black-Scholes value of $300,000 on the date of grant, rounded to the nearest whole number; and (ii) a Nonstatutory Stock Option to purchase 9,250 shares of Common Stock (an “</w:t>
      </w:r>
      <w:r>
        <w:rPr>
          <w:rFonts w:ascii="Times New Roman;serif" w:hAnsi="Times New Roman;serif"/>
          <w:b/>
          <w:i/>
          <w:color w:val="000000"/>
          <w:sz w:val="20"/>
        </w:rPr>
        <w:t>Annual Grant</w:t>
      </w:r>
      <w:r>
        <w:rPr>
          <w:color w:val="000000"/>
        </w:rPr>
        <w:t>”</w:t>
      </w:r>
      <w:r>
        <w:rPr>
          <w:rFonts w:ascii="Times New Roman;serif" w:hAnsi="Times New Roman;serif"/>
          <w:b w:val="false"/>
          <w:color w:val="000000"/>
          <w:sz w:val="20"/>
        </w:rPr>
        <w:t>). Each Annual Grant will vest as to all of the shares of Common Stock subject to the Annual Grant on the earlier of (a) the date of the next Annual Meeting that occurs following the grant date of the Annual Grant (or the date immediately prior to such date if the Eligible Director’s service as a director ends at such Annual Meeting due to the director’s failure to be re-elected or the director not standing for re-election); or (b) the first anniversary of the grant date of the Annual Grant, subject to the Eligible Director remaining in Continuous Service through the vesting date.</w:t>
      </w:r>
    </w:p>
    <w:p>
      <w:pPr>
        <w:pStyle w:val="TextBody"/>
        <w:bidi w:val="0"/>
        <w:spacing w:lineRule="auto" w:line="288" w:before="0" w:after="240"/>
        <w:jc w:val="both"/>
        <w:rPr/>
      </w:pPr>
      <w:r>
        <w:rPr>
          <w:rFonts w:ascii="Times New Roman;serif" w:hAnsi="Times New Roman;serif"/>
          <w:b/>
          <w:color w:val="000000"/>
          <w:sz w:val="20"/>
        </w:rPr>
        <w:t>Change in Control</w:t>
      </w:r>
      <w:r>
        <w:rPr>
          <w:color w:val="000000"/>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Notwithstanding anything to the contrary in this Policy, in the event of a Change in Control, each Eligible Director will fully vest in his or her then-outstanding Company equity awards as of immediately prior to the Change in Control, including, without limitation, any equity awards granted under this Policy, provided that the Eligible Director continues to be an Eligible Director through immediately prior to the date of such Change in Control.</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Eligible Director Compensation Limit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Notwithstanding anything to the contrary in this Policy, the cash compensation and equity compensation that each Eligible Director is eligible to receive under this Policy shall be subject to the limits set forth in Section 3(d) of the Plan.</w:t>
      </w:r>
    </w:p>
    <w:p>
      <w:pPr>
        <w:pStyle w:val="TextBody"/>
        <w:bidi w:val="0"/>
        <w:spacing w:before="0" w:after="0"/>
        <w:ind w:left="0" w:right="0" w:firstLine="720"/>
        <w:jc w:val="both"/>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Ability to Decline Compensation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An Eligible Director may decline all or any portion of his or her compensation under this Policy by giving notice to the Company prior to the date cash is to be paid or equity awards are to be granted, as the case may be. </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Expenses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The Company will reimburse Eligible Directors for ordinary, necessary and reasonable out-of-pocket travel expenses to cover in-person attendance at and participation in Board and committee meetings; </w:t>
      </w:r>
      <w:r>
        <w:rPr>
          <w:rFonts w:ascii="Times New Roman;serif" w:hAnsi="Times New Roman;serif"/>
          <w:b w:val="false"/>
          <w:i/>
          <w:color w:val="000000"/>
          <w:sz w:val="20"/>
        </w:rPr>
        <w:t>provided</w:t>
      </w:r>
      <w:r>
        <w:rPr>
          <w:rFonts w:ascii="Times New Roman;serif" w:hAnsi="Times New Roman;serif"/>
          <w:b w:val="false"/>
          <w:color w:val="000000"/>
          <w:sz w:val="20"/>
        </w:rPr>
        <w:t>, that the Eligible Director timely submits to the Company appropriate documentation substantiating such expenses in accordance with the Company’s travel and expense policy, as in effect from time to time.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Amendment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Policy may be amended at any time in the sole discretion of the Board or the Compensation Committee.</w:t>
      </w:r>
    </w:p>
    <w:p>
      <w:pPr>
        <w:pStyle w:val="TextBody"/>
        <w:bidi w:val="0"/>
        <w:spacing w:before="0" w:after="24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69545"/>
                <wp:effectExtent l="0" t="0" r="0" b="0"/>
                <wp:wrapNone/>
                <wp:docPr id="96" name="Frame87"/>
                <a:graphic xmlns:a="http://schemas.openxmlformats.org/drawingml/2006/main">
                  <a:graphicData uri="http://schemas.microsoft.com/office/word/2010/wordprocessingShape">
                    <wps:wsp>
                      <wps:cNvSpPr txBox="1"/>
                      <wps:spPr>
                        <a:xfrm>
                          <a:off x="0" y="0"/>
                          <a:ext cx="6480175" cy="169545"/>
                        </a:xfrm>
                        <a:prstGeom prst="rect"/>
                        <a:solidFill>
                          <a:srgbClr val="FFFFFF"/>
                        </a:solidFill>
                      </wps:spPr>
                      <wps:txbx>
                        <w:txbxContent>
                          <w:p>
                            <w:pPr>
                              <w:pStyle w:val="TextBody"/>
                              <w:bidi w:val="0"/>
                              <w:spacing w:lineRule="auto" w:line="232" w:before="0" w:after="0"/>
                              <w:jc w:val="left"/>
                              <w:rPr>
                                <w:color w:val="000000"/>
                              </w:rPr>
                            </w:pPr>
                            <w:r>
                              <w:rPr>
                                <w:color w:val="000000"/>
                              </w:rPr>
                              <w:t>    </w:t>
                            </w: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32" w:before="0" w:after="0"/>
                        <w:jc w:val="left"/>
                        <w:rPr>
                          <w:color w:val="000000"/>
                        </w:rPr>
                      </w:pPr>
                      <w:r>
                        <w:rPr>
                          <w:color w:val="000000"/>
                        </w:rPr>
                        <w:t>    </w:t>
                      </w: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 Lynn Seely,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Lyell Immunopharma,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413"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989"/>
        <w:gridCol w:w="989"/>
        <w:gridCol w:w="139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40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75" w:type="dxa"/>
            <w:gridSpan w:val="3"/>
            <w:tcBorders/>
            <w:tcMar>
              <w:top w:w="0" w:type="dxa"/>
              <w:left w:w="0" w:type="dxa"/>
              <w:bottom w:w="0" w:type="dxa"/>
              <w:right w:w="0" w:type="dxa"/>
            </w:tcMar>
            <w:vAlign w:val="center"/>
          </w:tcPr>
          <w:p>
            <w:pPr>
              <w:pStyle w:val="TableContents"/>
              <w:bidi w:val="0"/>
              <w:spacing w:lineRule="auto" w:line="312" w:before="240" w:after="283"/>
              <w:jc w:val="center"/>
              <w:rPr>
                <w:rFonts w:ascii="Times New Roman;serif" w:hAnsi="Times New Roman;serif"/>
                <w:b w:val="false"/>
                <w:color w:val="000000"/>
                <w:sz w:val="20"/>
              </w:rPr>
            </w:pPr>
            <w:r>
              <w:rPr>
                <w:rFonts w:ascii="Times New Roman;serif" w:hAnsi="Times New Roman;serif"/>
                <w:b w:val="false"/>
                <w:color w:val="000000"/>
                <w:sz w:val="20"/>
              </w:rPr>
              <w:t>/s/ LYNN SEELY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240" w:after="283"/>
              <w:jc w:val="center"/>
              <w:rPr>
                <w:rFonts w:ascii="Times New Roman;serif" w:hAnsi="Times New Roman;serif"/>
                <w:b/>
                <w:color w:val="000000"/>
                <w:sz w:val="20"/>
              </w:rPr>
            </w:pPr>
            <w:r>
              <w:rPr>
                <w:rFonts w:ascii="Times New Roman;serif" w:hAnsi="Times New Roman;serif"/>
                <w:b/>
                <w:color w:val="000000"/>
                <w:sz w:val="20"/>
              </w:rPr>
              <w:t>Lynn Seely, M.D.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President and Chief Executive Officer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Smital Shah,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Lyell Immunopharma,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262"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941"/>
        <w:gridCol w:w="941"/>
        <w:gridCol w:w="1342"/>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40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24" w:type="dxa"/>
            <w:gridSpan w:val="3"/>
            <w:tcBorders/>
            <w:tcMar>
              <w:top w:w="0" w:type="dxa"/>
              <w:left w:w="0" w:type="dxa"/>
              <w:bottom w:w="0" w:type="dxa"/>
              <w:right w:w="0" w:type="dxa"/>
            </w:tcMar>
            <w:vAlign w:val="center"/>
          </w:tcPr>
          <w:p>
            <w:pPr>
              <w:pStyle w:val="TableContents"/>
              <w:bidi w:val="0"/>
              <w:spacing w:lineRule="auto" w:line="312" w:before="240" w:after="283"/>
              <w:jc w:val="center"/>
              <w:rPr>
                <w:rFonts w:ascii="Times New Roman;serif" w:hAnsi="Times New Roman;serif"/>
                <w:b w:val="false"/>
                <w:color w:val="000000"/>
                <w:sz w:val="20"/>
              </w:rPr>
            </w:pPr>
            <w:r>
              <w:rPr>
                <w:rFonts w:ascii="Times New Roman;serif" w:hAnsi="Times New Roman;serif"/>
                <w:b w:val="false"/>
                <w:color w:val="000000"/>
                <w:sz w:val="20"/>
              </w:rPr>
              <w:t>/s/ SMITAL SHAH</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240" w:after="283"/>
              <w:jc w:val="center"/>
              <w:rPr>
                <w:rFonts w:ascii="Times New Roman;serif" w:hAnsi="Times New Roman;serif"/>
                <w:b/>
                <w:color w:val="000000"/>
                <w:sz w:val="20"/>
              </w:rPr>
            </w:pPr>
            <w:r>
              <w:rPr>
                <w:rFonts w:ascii="Times New Roman;serif" w:hAnsi="Times New Roman;serif"/>
                <w:b/>
                <w:color w:val="000000"/>
                <w:sz w:val="20"/>
              </w:rPr>
              <w:t>Smital Shah</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Chief Financial and Business Officer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333"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 set forth in Rule 13a-14(b) of the Securities Exchange Act of 1934, as amended, (the “Exchange Act”) and Section 1350 of Chapter 63 of Title 18 of the United States Code (18 U.S.C. §1350), each of the undersigned hereby certifies in her capacity as an officer of Lyell Immunopharma, Inc, Inc. (the “Company”), that, to the best of her knowledge:</w:t>
      </w:r>
    </w:p>
    <w:p>
      <w:pPr>
        <w:pStyle w:val="TextBody"/>
        <w:bidi w:val="0"/>
        <w:spacing w:before="240" w:after="283"/>
        <w:jc w:val="left"/>
        <w:rPr/>
      </w:pPr>
      <w:r>
        <w:rPr/>
      </w:r>
    </w:p>
    <w:p>
      <w:pPr>
        <w:pStyle w:val="TextBody"/>
        <w:bidi w:val="0"/>
        <w:spacing w:lineRule="auto" w:line="417"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Company’s Quarterly Report on Form 10-Q for the period ended March 31, 2026, to which this Certification is attached as Exhibit 32.1 (the “Report”) fully complies with the requirements of Section 13(a) or Section 15(d) of the Exchange Act; and</w:t>
      </w:r>
    </w:p>
    <w:p>
      <w:pPr>
        <w:pStyle w:val="TextBody"/>
        <w:bidi w:val="0"/>
        <w:spacing w:before="0" w:after="0"/>
        <w:jc w:val="left"/>
        <w:rPr/>
      </w:pPr>
      <w:r>
        <w:rPr/>
      </w:r>
    </w:p>
    <w:p>
      <w:pPr>
        <w:pStyle w:val="TextBody"/>
        <w:bidi w:val="0"/>
        <w:spacing w:lineRule="auto" w:line="417"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413"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989"/>
        <w:gridCol w:w="989"/>
        <w:gridCol w:w="139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40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75" w:type="dxa"/>
            <w:gridSpan w:val="3"/>
            <w:tcBorders/>
            <w:tcMar>
              <w:top w:w="0" w:type="dxa"/>
              <w:left w:w="0" w:type="dxa"/>
              <w:bottom w:w="0" w:type="dxa"/>
              <w:right w:w="0" w:type="dxa"/>
            </w:tcMar>
            <w:vAlign w:val="center"/>
          </w:tcPr>
          <w:p>
            <w:pPr>
              <w:pStyle w:val="TableContents"/>
              <w:bidi w:val="0"/>
              <w:spacing w:lineRule="auto" w:line="312" w:before="240" w:after="283"/>
              <w:jc w:val="center"/>
              <w:rPr>
                <w:rFonts w:ascii="Times New Roman;serif" w:hAnsi="Times New Roman;serif"/>
                <w:b w:val="false"/>
                <w:color w:val="000000"/>
                <w:sz w:val="20"/>
              </w:rPr>
            </w:pPr>
            <w:r>
              <w:rPr>
                <w:rFonts w:ascii="Times New Roman;serif" w:hAnsi="Times New Roman;serif"/>
                <w:b w:val="false"/>
                <w:color w:val="000000"/>
                <w:sz w:val="20"/>
              </w:rPr>
              <w:t>/s/ LYNN SEELY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240" w:after="283"/>
              <w:jc w:val="center"/>
              <w:rPr>
                <w:rFonts w:ascii="Times New Roman;serif" w:hAnsi="Times New Roman;serif"/>
                <w:b/>
                <w:color w:val="000000"/>
                <w:sz w:val="20"/>
              </w:rPr>
            </w:pPr>
            <w:r>
              <w:rPr>
                <w:rFonts w:ascii="Times New Roman;serif" w:hAnsi="Times New Roman;serif"/>
                <w:b/>
                <w:color w:val="000000"/>
                <w:sz w:val="20"/>
              </w:rPr>
              <w:t>Lynn Seely, M.D.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President and Chief Executive Officer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before="240" w:after="283"/>
        <w:jc w:val="left"/>
        <w:rPr/>
      </w:pPr>
      <w:r>
        <w:rPr/>
      </w:r>
    </w:p>
    <w:tbl>
      <w:tblPr>
        <w:tblW w:w="5307"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954"/>
        <w:gridCol w:w="954"/>
        <w:gridCol w:w="1361"/>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40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69" w:type="dxa"/>
            <w:gridSpan w:val="3"/>
            <w:tcBorders/>
            <w:tcMar>
              <w:top w:w="0" w:type="dxa"/>
              <w:left w:w="0" w:type="dxa"/>
              <w:bottom w:w="0" w:type="dxa"/>
              <w:right w:w="0" w:type="dxa"/>
            </w:tcMar>
            <w:vAlign w:val="center"/>
          </w:tcPr>
          <w:p>
            <w:pPr>
              <w:pStyle w:val="TableContents"/>
              <w:bidi w:val="0"/>
              <w:spacing w:lineRule="auto" w:line="312" w:before="240" w:after="283"/>
              <w:jc w:val="center"/>
              <w:rPr>
                <w:rFonts w:ascii="Times New Roman;serif" w:hAnsi="Times New Roman;serif"/>
                <w:b w:val="false"/>
                <w:color w:val="000000"/>
                <w:sz w:val="20"/>
              </w:rPr>
            </w:pPr>
            <w:r>
              <w:rPr>
                <w:rFonts w:ascii="Times New Roman;serif" w:hAnsi="Times New Roman;serif"/>
                <w:b w:val="false"/>
                <w:color w:val="000000"/>
                <w:sz w:val="20"/>
              </w:rPr>
              <w:t>/s/ SMITAL SHAH</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240" w:after="283"/>
              <w:jc w:val="center"/>
              <w:rPr>
                <w:rFonts w:ascii="Times New Roman;serif" w:hAnsi="Times New Roman;serif"/>
                <w:b/>
                <w:color w:val="000000"/>
                <w:sz w:val="20"/>
              </w:rPr>
            </w:pPr>
            <w:r>
              <w:rPr>
                <w:rFonts w:ascii="Times New Roman;serif" w:hAnsi="Times New Roman;serif"/>
                <w:b/>
                <w:color w:val="000000"/>
                <w:sz w:val="20"/>
              </w:rPr>
              <w:t>Smital Shah</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Chief Financial and Business Officer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(Principal Financial Officer)</w:t>
            </w:r>
          </w:p>
        </w:tc>
      </w:tr>
    </w:tbl>
    <w:p>
      <w:pPr>
        <w:pStyle w:val="TextBody"/>
        <w:bidi w:val="0"/>
        <w:spacing w:before="24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hyperlink" Target="https://www.sec.gov/Archives/edgar/data/1806952/000119312524242808/d881076dex21.htm" TargetMode="External"/><Relationship Id="rId12" Type="http://schemas.openxmlformats.org/officeDocument/2006/relationships/hyperlink" Target="https://www.sec.gov/Archives/edgar/data/1806952/000119312521195237/d136326dex41.htm" TargetMode="External"/><Relationship Id="rId13" Type="http://schemas.openxmlformats.org/officeDocument/2006/relationships/hyperlink" Target="https://www.sec.gov/Archives/edgar/data/1806952/000119312525129448/d944707dex31.htm" TargetMode="External"/><Relationship Id="rId14" Type="http://schemas.openxmlformats.org/officeDocument/2006/relationships/hyperlink" Target="https://www.sec.gov/Archives/edgar/data/1806952/000119312525309621/d13123dex31.htm" TargetMode="External"/><Relationship Id="rId15" Type="http://schemas.openxmlformats.org/officeDocument/2006/relationships/hyperlink" Target="https://www.sec.gov/Archives/edgar/data/1806952/000180695225000008/lyel-20250630x10qxexx41.htm" TargetMode="External"/><Relationship Id="rId16" Type="http://schemas.openxmlformats.org/officeDocument/2006/relationships/hyperlink" Target="https://www.sec.gov/Archives/edgar/data/1806952/000119312521172500/d168165dex42.htm" TargetMode="External"/><Relationship Id="rId17" Type="http://schemas.openxmlformats.org/officeDocument/2006/relationships/hyperlink" Target="https://www.sec.gov/Archives/edgar/data/1806952/000119312526097615/d84786dex101.htm"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59645</Words>
  <Characters>337767</Characters>
  <CharactersWithSpaces>395730</CharactersWithSpaces>
  <Paragraphs>2393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