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37.xml.htm"/>
      <w:bookmarkStart w:id="1" w:name="ksform406122026_0806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Ramachandra Sumant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28"/>
        <w:gridCol w:w="1183"/>
        <w:gridCol w:w="1011"/>
        <w:gridCol w:w="98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(1)</w:t>
            </w:r>
            <w:r>
              <w:rPr/>
              <w:t xml:space="preserve"> </w:t>
            </w:r>
          </w:p>
        </w:tc>
        <w:tc>
          <w:tcPr>
            <w:tcW w:w="10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Grantor and Trustee</w:t>
            </w:r>
            <w:r>
              <w:rPr>
                <w:rFonts w:ascii="Times;serif" w:hAnsi="Times;serif"/>
                <w:color w:val="008000"/>
                <w:position w:val="7"/>
                <w:sz w:val="16"/>
                <w:sz w:val="20"/>
                <w:shd w:fill="FFFFFF" w:val="clear"/>
              </w:rPr>
              <w:t>(2)</w:t>
            </w:r>
            <w:r>
              <w:rPr/>
              <w:t xml:space="preserve"> </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30, 2025, the Issuer effected a 1-for-20 reverse stock split of its common stock. All share and amounts reported herein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Sumant Ramachandra Rev Trust DTD 01/24/12. The Reporting Person is grantor and trustee of the Sumant Ramachandra Rev Trust DTD 01/24/12.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shares shall vest on the earlier of (a) the date of the next annual meeting of the stockholders that occurs following June 10, 2026 (or the date immediately prior to such date if the Reporting Person's service as a director ends at such annual meeting due to the Reporting Person's failure to be reelected or the Reporting Person not standing for re-election); or (b) the first anniversary of June 10, 2026, subject to the Reporting Person providing continuous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9368"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716</Words>
  <Characters>3833</Characters>
  <CharactersWithSpaces>4483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