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303530</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320040</wp:posOffset>
            </wp:positionV>
            <wp:extent cx="68065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001-40502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Lyell Immunopharma, Inc.</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p>
      <w:pPr>
        <w:spacing w:after="0" w:line="311" w:lineRule="exact"/>
        <w:rPr>
          <w:sz w:val="24"/>
          <w:szCs w:val="24"/>
          <w:color w:val="auto"/>
        </w:rPr>
      </w:pPr>
    </w:p>
    <w:p>
      <w:pPr>
        <w:jc w:val="center"/>
        <w:ind w:right="1540"/>
        <w:spacing w:after="0"/>
        <w:rPr>
          <w:sz w:val="20"/>
          <w:szCs w:val="20"/>
          <w:color w:val="auto"/>
        </w:rPr>
      </w:pPr>
      <w:r>
        <w:rPr>
          <w:rFonts w:ascii="Arial" w:cs="Arial" w:eastAsia="Arial" w:hAnsi="Arial"/>
          <w:sz w:val="13"/>
          <w:szCs w:val="13"/>
          <w:b w:val="1"/>
          <w:bCs w:val="1"/>
          <w:color w:val="auto"/>
        </w:rPr>
        <w:t>Delaware</w:t>
      </w:r>
    </w:p>
    <w:p>
      <w:pPr>
        <w:spacing w:after="0" w:line="40"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spacing w:after="0" w:line="18"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47" w:lineRule="exact"/>
        <w:rPr>
          <w:sz w:val="24"/>
          <w:szCs w:val="24"/>
          <w:color w:val="auto"/>
        </w:rPr>
      </w:pPr>
    </w:p>
    <w:p>
      <w:pPr>
        <w:jc w:val="center"/>
        <w:ind w:right="1540"/>
        <w:spacing w:after="0"/>
        <w:rPr>
          <w:sz w:val="20"/>
          <w:szCs w:val="20"/>
          <w:color w:val="auto"/>
        </w:rPr>
      </w:pPr>
      <w:r>
        <w:rPr>
          <w:rFonts w:ascii="Arial" w:cs="Arial" w:eastAsia="Arial" w:hAnsi="Arial"/>
          <w:sz w:val="13"/>
          <w:szCs w:val="13"/>
          <w:b w:val="1"/>
          <w:bCs w:val="1"/>
          <w:color w:val="auto"/>
        </w:rPr>
        <w:t>400 East Jamie Court, Suite 301</w:t>
      </w:r>
    </w:p>
    <w:p>
      <w:pPr>
        <w:spacing w:after="0" w:line="26" w:lineRule="exact"/>
        <w:rPr>
          <w:sz w:val="24"/>
          <w:szCs w:val="24"/>
          <w:color w:val="auto"/>
        </w:rPr>
      </w:pPr>
    </w:p>
    <w:p>
      <w:pPr>
        <w:jc w:val="center"/>
        <w:ind w:right="1540"/>
        <w:spacing w:after="0"/>
        <w:rPr>
          <w:sz w:val="20"/>
          <w:szCs w:val="20"/>
          <w:color w:val="auto"/>
        </w:rPr>
      </w:pPr>
      <w:r>
        <w:rPr>
          <w:rFonts w:ascii="Arial" w:cs="Arial" w:eastAsia="Arial" w:hAnsi="Arial"/>
          <w:sz w:val="13"/>
          <w:szCs w:val="13"/>
          <w:b w:val="1"/>
          <w:bCs w:val="1"/>
          <w:color w:val="auto"/>
        </w:rPr>
        <w:t>South San Francisco, California</w:t>
      </w:r>
    </w:p>
    <w:p>
      <w:pPr>
        <w:spacing w:after="0" w:line="53" w:lineRule="exact"/>
        <w:rPr>
          <w:sz w:val="24"/>
          <w:szCs w:val="24"/>
          <w:color w:val="auto"/>
        </w:rPr>
      </w:pPr>
    </w:p>
    <w:p>
      <w:pPr>
        <w:jc w:val="center"/>
        <w:ind w:right="15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83-1300510</w:t>
      </w:r>
    </w:p>
    <w:p>
      <w:pPr>
        <w:spacing w:after="0" w:line="53"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spacing w:after="0" w:line="18"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234"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94080</w:t>
      </w:r>
    </w:p>
    <w:p>
      <w:pPr>
        <w:spacing w:after="0" w:line="40"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(Zip Code)</w:t>
      </w:r>
    </w:p>
    <w:p>
      <w:pPr>
        <w:spacing w:after="0" w:line="102" w:lineRule="exact"/>
        <w:rPr>
          <w:sz w:val="24"/>
          <w:szCs w:val="24"/>
          <w:color w:val="auto"/>
        </w:rPr>
      </w:pPr>
    </w:p>
    <w:p>
      <w:pPr>
        <w:sectPr>
          <w:pgSz w:w="11900" w:h="16838" w:orient="portrait"/>
          <w:cols w:equalWidth="0" w:num="2">
            <w:col w:w="7180" w:space="720"/>
            <w:col w:w="3340"/>
          </w:cols>
          <w:pgMar w:left="320" w:top="504"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7960" w:type="dxa"/>
            <w:vAlign w:val="bottom"/>
            <w:gridSpan w:val="7"/>
          </w:tcPr>
          <w:p>
            <w:pPr>
              <w:ind w:left="40"/>
              <w:spacing w:after="0"/>
              <w:rPr>
                <w:sz w:val="20"/>
                <w:szCs w:val="20"/>
                <w:color w:val="auto"/>
              </w:rPr>
            </w:pPr>
            <w:r>
              <w:rPr>
                <w:rFonts w:ascii="Arial" w:cs="Arial" w:eastAsia="Arial" w:hAnsi="Arial"/>
                <w:sz w:val="14"/>
                <w:szCs w:val="14"/>
                <w:b w:val="1"/>
                <w:bCs w:val="1"/>
                <w:color w:val="auto"/>
              </w:rPr>
              <w:t>Registrant’s telephone number, including area code: (650) 695-0677</w:t>
            </w:r>
          </w:p>
        </w:tc>
      </w:tr>
      <w:tr>
        <w:trPr>
          <w:trHeight w:val="134"/>
        </w:trPr>
        <w:tc>
          <w:tcPr>
            <w:tcW w:w="42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500" w:type="dxa"/>
            <w:vAlign w:val="bottom"/>
          </w:tcPr>
          <w:p>
            <w:pPr>
              <w:spacing w:after="0"/>
              <w:rPr>
                <w:sz w:val="11"/>
                <w:szCs w:val="11"/>
                <w:color w:val="auto"/>
              </w:rPr>
            </w:pPr>
          </w:p>
        </w:tc>
      </w:tr>
      <w:tr>
        <w:trPr>
          <w:trHeight w:val="238"/>
        </w:trPr>
        <w:tc>
          <w:tcPr>
            <w:tcW w:w="6740" w:type="dxa"/>
            <w:vAlign w:val="bottom"/>
            <w:gridSpan w:val="7"/>
          </w:tcPr>
          <w:p>
            <w:pPr>
              <w:ind w:left="600"/>
              <w:spacing w:after="0"/>
              <w:rPr>
                <w:sz w:val="20"/>
                <w:szCs w:val="20"/>
                <w:color w:val="auto"/>
              </w:rPr>
            </w:pPr>
            <w:r>
              <w:rPr>
                <w:rFonts w:ascii="Arial" w:cs="Arial" w:eastAsia="Arial" w:hAnsi="Arial"/>
                <w:sz w:val="14"/>
                <w:szCs w:val="14"/>
                <w:color w:val="auto"/>
              </w:rPr>
              <w:t>Securities registered pursuant to Section 12(b) of the Act:</w:t>
            </w:r>
          </w:p>
        </w:tc>
        <w:tc>
          <w:tcPr>
            <w:tcW w:w="4500" w:type="dxa"/>
            <w:vAlign w:val="bottom"/>
          </w:tcPr>
          <w:p>
            <w:pPr>
              <w:spacing w:after="0"/>
              <w:rPr>
                <w:sz w:val="20"/>
                <w:szCs w:val="20"/>
                <w:color w:val="auto"/>
              </w:rPr>
            </w:pPr>
          </w:p>
        </w:tc>
      </w:tr>
      <w:tr>
        <w:trPr>
          <w:trHeight w:val="276"/>
        </w:trPr>
        <w:tc>
          <w:tcPr>
            <w:tcW w:w="3280" w:type="dxa"/>
            <w:vAlign w:val="bottom"/>
            <w:tcBorders>
              <w:bottom w:val="single" w:sz="8" w:color="auto"/>
            </w:tcBorders>
          </w:tcPr>
          <w:p>
            <w:pPr>
              <w:jc w:val="center"/>
              <w:ind w:left="928"/>
              <w:spacing w:after="0"/>
              <w:rPr>
                <w:sz w:val="20"/>
                <w:szCs w:val="20"/>
                <w:color w:val="auto"/>
              </w:rPr>
            </w:pPr>
            <w:r>
              <w:rPr>
                <w:rFonts w:ascii="Arial" w:cs="Arial" w:eastAsia="Arial" w:hAnsi="Arial"/>
                <w:sz w:val="14"/>
                <w:szCs w:val="14"/>
                <w:b w:val="1"/>
                <w:bCs w:val="1"/>
                <w:color w:val="auto"/>
              </w:rPr>
              <w:t>Title of each class</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0"/>
        </w:trPr>
        <w:tc>
          <w:tcPr>
            <w:tcW w:w="3280" w:type="dxa"/>
            <w:vAlign w:val="bottom"/>
          </w:tcPr>
          <w:p>
            <w:pPr>
              <w:jc w:val="center"/>
              <w:ind w:left="948"/>
              <w:spacing w:after="0"/>
              <w:rPr>
                <w:sz w:val="20"/>
                <w:szCs w:val="20"/>
                <w:color w:val="auto"/>
              </w:rPr>
            </w:pPr>
            <w:r>
              <w:rPr>
                <w:rFonts w:ascii="Arial" w:cs="Arial" w:eastAsia="Arial" w:hAnsi="Arial"/>
                <w:sz w:val="14"/>
                <w:szCs w:val="14"/>
                <w:color w:val="auto"/>
              </w:rPr>
              <w:t>Common Stock, $0.0001 par value</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color w:val="auto"/>
                <w:w w:val="99"/>
              </w:rPr>
              <w:t>LYEL</w:t>
            </w:r>
          </w:p>
        </w:tc>
        <w:tc>
          <w:tcPr>
            <w:tcW w:w="4500" w:type="dxa"/>
            <w:vAlign w:val="bottom"/>
          </w:tcPr>
          <w:p>
            <w:pPr>
              <w:jc w:val="center"/>
              <w:ind w:right="468"/>
              <w:spacing w:after="0"/>
              <w:rPr>
                <w:sz w:val="20"/>
                <w:szCs w:val="20"/>
                <w:color w:val="auto"/>
              </w:rPr>
            </w:pPr>
            <w:r>
              <w:rPr>
                <w:rFonts w:ascii="Arial" w:cs="Arial" w:eastAsia="Arial" w:hAnsi="Arial"/>
                <w:sz w:val="14"/>
                <w:szCs w:val="14"/>
                <w:color w:val="auto"/>
              </w:rPr>
              <w:t>The Nasdaq Global Select Market</w:t>
            </w:r>
          </w:p>
        </w:tc>
      </w:tr>
    </w:tbl>
    <w:p>
      <w:pPr>
        <w:spacing w:after="0" w:line="125" w:lineRule="exact"/>
        <w:rPr>
          <w:sz w:val="24"/>
          <w:szCs w:val="24"/>
          <w:color w:val="auto"/>
        </w:rPr>
      </w:pPr>
    </w:p>
    <w:p>
      <w:pPr>
        <w:ind w:right="180" w:firstLine="599"/>
        <w:spacing w:after="0" w:line="25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61" w:lineRule="exact"/>
        <w:tabs>
          <w:tab w:leader="none" w:pos="7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ind w:right="80" w:firstLine="599"/>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100" w:firstLine="599"/>
        <w:spacing w:after="0" w:line="28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8"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68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1"/>
        </w:trPr>
        <w:tc>
          <w:tcPr>
            <w:tcW w:w="2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68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4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82" w:lineRule="exact"/>
        <w:rPr>
          <w:sz w:val="24"/>
          <w:szCs w:val="24"/>
          <w:color w:val="auto"/>
        </w:rPr>
      </w:pPr>
    </w:p>
    <w:p>
      <w:pPr>
        <w:ind w:right="280" w:firstLine="599"/>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600" w:right="2240"/>
        <w:spacing w:after="0" w:line="22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August 9, 2021, the registrant had 239,398,206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3"/>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19"/>
                <w:szCs w:val="19"/>
                <w:color w:val="auto"/>
              </w:rPr>
            </w:pPr>
          </w:p>
        </w:tc>
      </w:tr>
      <w:tr>
        <w:trPr>
          <w:trHeight w:val="203"/>
        </w:trPr>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8"/>
          </w:tcPr>
          <w:p>
            <w:pPr>
              <w:spacing w:after="0" w:line="202"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Statements (Unaudited)</w:t>
              </w:r>
            </w:hyperlink>
          </w:p>
        </w:tc>
        <w:tc>
          <w:tcPr>
            <w:tcW w:w="20" w:type="dxa"/>
            <w:vAlign w:val="bottom"/>
            <w:tcBorders>
              <w:bottom w:val="single" w:sz="8" w:color="0000EE"/>
            </w:tcBorders>
          </w:tcPr>
          <w:p>
            <w:pPr>
              <w:spacing w:after="0"/>
              <w:rPr>
                <w:sz w:val="17"/>
                <w:szCs w:val="17"/>
                <w:color w:val="auto"/>
              </w:rPr>
            </w:pPr>
          </w:p>
        </w:tc>
        <w:tc>
          <w:tcPr>
            <w:tcW w:w="660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4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Balance Sheets</w:t>
              </w:r>
            </w:hyperlink>
          </w:p>
        </w:tc>
        <w:tc>
          <w:tcPr>
            <w:tcW w:w="20" w:type="dxa"/>
            <w:vAlign w:val="bottom"/>
            <w:tcBorders>
              <w:bottom w:val="single" w:sz="8" w:color="0000EE"/>
            </w:tcBorders>
          </w:tcPr>
          <w:p>
            <w:pPr>
              <w:spacing w:after="0"/>
              <w:rPr>
                <w:sz w:val="19"/>
                <w:szCs w:val="19"/>
                <w:color w:val="auto"/>
              </w:rPr>
            </w:pPr>
          </w:p>
        </w:tc>
        <w:tc>
          <w:tcPr>
            <w:tcW w:w="5940" w:type="dxa"/>
            <w:vAlign w:val="bottom"/>
            <w:gridSpan w:val="1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20" w:type="dxa"/>
            <w:vAlign w:val="bottom"/>
            <w:tcBorders>
              <w:bottom w:val="single" w:sz="8" w:color="0000FF"/>
            </w:tcBorders>
            <w:gridSpan w:val="17"/>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Operations and Comprehensive Loss</w:t>
              </w:r>
            </w:hyperlink>
          </w:p>
        </w:tc>
        <w:tc>
          <w:tcPr>
            <w:tcW w:w="20" w:type="dxa"/>
            <w:vAlign w:val="bottom"/>
            <w:tcBorders>
              <w:bottom w:val="single" w:sz="8" w:color="0000EE"/>
            </w:tcBorders>
          </w:tcPr>
          <w:p>
            <w:pPr>
              <w:spacing w:after="0"/>
              <w:rPr>
                <w:sz w:val="19"/>
                <w:szCs w:val="19"/>
                <w:color w:val="auto"/>
              </w:rPr>
            </w:pPr>
          </w:p>
        </w:tc>
        <w:tc>
          <w:tcPr>
            <w:tcW w:w="306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300" w:type="dxa"/>
            <w:vAlign w:val="bottom"/>
            <w:gridSpan w:val="2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Convertible Preferred Stock and Stockholders' (Deficit</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7">
              <w:r>
                <w:rPr>
                  <w:rFonts w:ascii="Arial" w:cs="Arial" w:eastAsia="Arial" w:hAnsi="Arial"/>
                  <w:sz w:val="18"/>
                  <w:szCs w:val="18"/>
                  <w:color w:val="0000FF"/>
                </w:rPr>
                <w:t>Equity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8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Condensed Consolidated Statements of Cash Flows</w:t>
              </w:r>
            </w:hyperlink>
          </w:p>
        </w:tc>
        <w:tc>
          <w:tcPr>
            <w:tcW w:w="20" w:type="dxa"/>
            <w:vAlign w:val="bottom"/>
            <w:tcBorders>
              <w:top w:val="single" w:sz="8" w:color="0000FF"/>
              <w:bottom w:val="single" w:sz="8" w:color="0000EE"/>
            </w:tcBorders>
          </w:tcPr>
          <w:p>
            <w:pPr>
              <w:spacing w:after="0"/>
              <w:rPr>
                <w:sz w:val="19"/>
                <w:szCs w:val="19"/>
                <w:color w:val="auto"/>
              </w:rPr>
            </w:pPr>
          </w:p>
        </w:tc>
        <w:tc>
          <w:tcPr>
            <w:tcW w:w="3340" w:type="dxa"/>
            <w:vAlign w:val="bottom"/>
            <w:tcBorders>
              <w:top w:val="single" w:sz="8" w:color="0000FF"/>
            </w:tcBorders>
            <w:gridSpan w:val="7"/>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36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Notes to Unaudited Condensed Consolidated Financial Statements</w:t>
              </w:r>
            </w:hyperlink>
          </w:p>
        </w:tc>
        <w:tc>
          <w:tcPr>
            <w:tcW w:w="394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Quantitative and Qualitative Disclosures About Market Risk</w:t>
              </w:r>
            </w:hyperlink>
          </w:p>
        </w:tc>
        <w:tc>
          <w:tcPr>
            <w:tcW w:w="2360" w:type="dxa"/>
            <w:vAlign w:val="bottom"/>
            <w:tcBorders>
              <w:top w:val="single" w:sz="8" w:color="0000FF"/>
            </w:tcBorders>
            <w:gridSpan w:val="5"/>
          </w:tcPr>
          <w:p>
            <w:pPr>
              <w:spacing w:after="0"/>
              <w:rPr>
                <w:sz w:val="19"/>
                <w:szCs w:val="19"/>
                <w:color w:val="auto"/>
              </w:rPr>
            </w:pPr>
          </w:p>
        </w:tc>
        <w:tc>
          <w:tcPr>
            <w:tcW w:w="222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Controls and Procedures</w:t>
              </w:r>
            </w:hyperlink>
          </w:p>
        </w:tc>
        <w:tc>
          <w:tcPr>
            <w:tcW w:w="730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FF"/>
            </w:tcBorders>
            <w:gridSpan w:val="5"/>
          </w:tcPr>
          <w:p>
            <w:pPr>
              <w:spacing w:after="0"/>
              <w:rPr>
                <w:rFonts w:ascii="Arial" w:cs="Arial" w:eastAsia="Arial" w:hAnsi="Arial"/>
                <w:sz w:val="18"/>
                <w:szCs w:val="18"/>
                <w:color w:val="0000FF"/>
                <w:w w:val="98"/>
              </w:rPr>
            </w:pPr>
            <w:hyperlink w:anchor="page39">
              <w:r>
                <w:rPr>
                  <w:rFonts w:ascii="Arial" w:cs="Arial" w:eastAsia="Arial" w:hAnsi="Arial"/>
                  <w:sz w:val="18"/>
                  <w:szCs w:val="18"/>
                  <w:color w:val="0000FF"/>
                  <w:w w:val="98"/>
                </w:rPr>
                <w:t>OTHER INFORMATION</w:t>
              </w:r>
            </w:hyperlink>
          </w:p>
        </w:tc>
        <w:tc>
          <w:tcPr>
            <w:tcW w:w="7360" w:type="dxa"/>
            <w:vAlign w:val="bottom"/>
            <w:gridSpan w:val="18"/>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Legal Proceedings</w:t>
              </w:r>
            </w:hyperlink>
          </w:p>
        </w:tc>
        <w:tc>
          <w:tcPr>
            <w:tcW w:w="7800" w:type="dxa"/>
            <w:vAlign w:val="bottom"/>
            <w:gridSpan w:val="19"/>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2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81">
              <w:r>
                <w:rPr>
                  <w:rFonts w:ascii="Arial" w:cs="Arial" w:eastAsia="Arial" w:hAnsi="Arial"/>
                  <w:sz w:val="18"/>
                  <w:szCs w:val="18"/>
                  <w:color w:val="0000FF"/>
                  <w:w w:val="99"/>
                </w:rPr>
                <w:t>Unregistered Sales of Equity Securities and Use of Proceeds</w:t>
              </w:r>
            </w:hyperlink>
          </w:p>
        </w:tc>
        <w:tc>
          <w:tcPr>
            <w:tcW w:w="4440" w:type="dxa"/>
            <w:vAlign w:val="bottom"/>
            <w:gridSpan w:val="8"/>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81">
              <w:r>
                <w:rPr>
                  <w:rFonts w:ascii="Arial" w:cs="Arial" w:eastAsia="Arial" w:hAnsi="Arial"/>
                  <w:sz w:val="18"/>
                  <w:szCs w:val="18"/>
                  <w:color w:val="0000FF"/>
                  <w:w w:val="99"/>
                </w:rPr>
                <w:t>Defaults Upon Senior Securities</w:t>
              </w:r>
            </w:hyperlink>
          </w:p>
        </w:tc>
        <w:tc>
          <w:tcPr>
            <w:tcW w:w="674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82">
              <w:r>
                <w:rPr>
                  <w:rFonts w:ascii="Arial" w:cs="Arial" w:eastAsia="Arial" w:hAnsi="Arial"/>
                  <w:sz w:val="18"/>
                  <w:szCs w:val="18"/>
                  <w:color w:val="0000FF"/>
                  <w:w w:val="99"/>
                </w:rPr>
                <w:t>Mine Safety Disclosures</w:t>
              </w:r>
            </w:hyperlink>
          </w:p>
        </w:tc>
        <w:tc>
          <w:tcPr>
            <w:tcW w:w="7360" w:type="dxa"/>
            <w:vAlign w:val="bottom"/>
            <w:gridSpan w:val="18"/>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3"/>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3"/>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Exhibits</w:t>
              </w:r>
            </w:hyperlink>
          </w:p>
        </w:tc>
        <w:tc>
          <w:tcPr>
            <w:tcW w:w="7900" w:type="dxa"/>
            <w:vAlign w:val="bottom"/>
            <w:gridSpan w:val="20"/>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1140" w:type="dxa"/>
            <w:vAlign w:val="bottom"/>
            <w:gridSpan w:val="2"/>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Signatures</w:t>
              </w:r>
            </w:hyperlink>
          </w:p>
        </w:tc>
        <w:tc>
          <w:tcPr>
            <w:tcW w:w="64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8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6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Quarterly Report on Form 10-Q contains forward-looking statements. All statements other than statements of historical facts contained in this Quarterly Report on Form 10-Q, including statements regarding our future results of operations and financial position, business strategy, product candidates, planned nonclinical studies and clinical trials, results of nonclinical studies, clinical trials, research and development costs, planned regulatory submissions,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31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 looking statements contained in this Quarterly Report on Form 10-Q include, but are not limited to, statements about:</w:t>
      </w:r>
    </w:p>
    <w:p>
      <w:pPr>
        <w:spacing w:after="0" w:line="311"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346"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revenue opportunities, capital requirements and needs for additional financing;</w:t>
      </w:r>
    </w:p>
    <w:p>
      <w:pPr>
        <w:spacing w:after="0" w:line="346" w:lineRule="exact"/>
        <w:rPr>
          <w:rFonts w:ascii="Arial" w:cs="Arial" w:eastAsia="Arial" w:hAnsi="Arial"/>
          <w:sz w:val="18"/>
          <w:szCs w:val="18"/>
          <w:color w:val="auto"/>
        </w:rPr>
      </w:pPr>
    </w:p>
    <w:p>
      <w:pPr>
        <w:ind w:right="360" w:firstLine="8"/>
        <w:spacing w:after="0" w:line="277" w:lineRule="auto"/>
        <w:tabs>
          <w:tab w:leader="none" w:pos="11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LYL797, LYL845 or any other product candidates we may develop, and conducting preclinical studies and clinical trials, including for LYL797 and LYL845;</w:t>
      </w:r>
    </w:p>
    <w:p>
      <w:pPr>
        <w:spacing w:after="0" w:line="305" w:lineRule="exact"/>
        <w:rPr>
          <w:rFonts w:ascii="Arial" w:cs="Arial" w:eastAsia="Arial" w:hAnsi="Arial"/>
          <w:sz w:val="18"/>
          <w:szCs w:val="18"/>
          <w:color w:val="auto"/>
        </w:rPr>
      </w:pPr>
    </w:p>
    <w:p>
      <w:pPr>
        <w:ind w:firstLine="8"/>
        <w:spacing w:after="0" w:line="271" w:lineRule="auto"/>
        <w:tabs>
          <w:tab w:leader="none" w:pos="11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costs involved in obtaining and maintaining regulatory approval of LYL797, LYL845 or any other product candidates we may develop, and the timing or likelihood of regulatory filings and approvals, including our expectation to seek special designations for our product candidates for various diseases;</w:t>
      </w:r>
    </w:p>
    <w:p>
      <w:pPr>
        <w:spacing w:after="0" w:line="311"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GSK’s plans for the NY-ESO-1 programs;</w:t>
      </w:r>
    </w:p>
    <w:p>
      <w:pPr>
        <w:spacing w:after="0" w:line="346" w:lineRule="exact"/>
        <w:rPr>
          <w:rFonts w:ascii="Arial" w:cs="Arial" w:eastAsia="Arial" w:hAnsi="Arial"/>
          <w:sz w:val="18"/>
          <w:szCs w:val="18"/>
          <w:color w:val="auto"/>
        </w:rPr>
      </w:pPr>
    </w:p>
    <w:p>
      <w:pPr>
        <w:ind w:right="800" w:firstLine="8"/>
        <w:spacing w:after="0" w:line="277" w:lineRule="auto"/>
        <w:tabs>
          <w:tab w:leader="none" w:pos="11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LYL797, LYL845 or any other product candidates we may develop, if approved, including the geographic areas of focus and our ability to grow a sales force;</w:t>
      </w:r>
    </w:p>
    <w:p>
      <w:pPr>
        <w:spacing w:after="0" w:line="305"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LYL797, LYL845 or any other product candidates we may develop in each of the diseases we target;</w:t>
      </w:r>
    </w:p>
    <w:p>
      <w:pPr>
        <w:spacing w:after="0" w:line="346"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nonclinical research activities for LYL797, LYL845 or any other product candidates we may develop;</w:t>
      </w:r>
    </w:p>
    <w:p>
      <w:pPr>
        <w:spacing w:after="0" w:line="346"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safety, efficacy and therapeutic effects of LYL797, LYL845 or any other product candidates we may develop;</w:t>
      </w:r>
    </w:p>
    <w:p>
      <w:pPr>
        <w:spacing w:after="0" w:line="346" w:lineRule="exact"/>
        <w:rPr>
          <w:rFonts w:ascii="Arial" w:cs="Arial" w:eastAsia="Arial" w:hAnsi="Arial"/>
          <w:sz w:val="18"/>
          <w:szCs w:val="18"/>
          <w:color w:val="auto"/>
        </w:rPr>
      </w:pPr>
    </w:p>
    <w:p>
      <w:pPr>
        <w:ind w:right="380" w:firstLine="8"/>
        <w:spacing w:after="0" w:line="277" w:lineRule="auto"/>
        <w:tabs>
          <w:tab w:leader="none" w:pos="11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diseases we target and the number of subjects that will enroll in our clinical trials;</w:t>
      </w:r>
    </w:p>
    <w:p>
      <w:pPr>
        <w:spacing w:after="0" w:line="305"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 including the timing thereof;</w:t>
      </w:r>
    </w:p>
    <w:p>
      <w:pPr>
        <w:spacing w:after="0" w:line="346" w:lineRule="exact"/>
        <w:rPr>
          <w:rFonts w:ascii="Arial" w:cs="Arial" w:eastAsia="Arial" w:hAnsi="Arial"/>
          <w:sz w:val="18"/>
          <w:szCs w:val="18"/>
          <w:color w:val="auto"/>
        </w:rPr>
      </w:pPr>
    </w:p>
    <w:p>
      <w:pPr>
        <w:ind w:right="200" w:firstLine="8"/>
        <w:spacing w:after="0" w:line="266" w:lineRule="auto"/>
        <w:tabs>
          <w:tab w:leader="none" w:pos="11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LYL797, LYL845 or any other product candidates we may develop, and other positive results;</w:t>
      </w: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346"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346" w:lineRule="exact"/>
        <w:rPr>
          <w:rFonts w:ascii="Arial" w:cs="Arial" w:eastAsia="Arial" w:hAnsi="Arial"/>
          <w:sz w:val="18"/>
          <w:szCs w:val="18"/>
          <w:color w:val="auto"/>
        </w:rPr>
      </w:pPr>
    </w:p>
    <w:p>
      <w:pPr>
        <w:ind w:right="500" w:firstLine="8"/>
        <w:spacing w:after="0" w:line="277" w:lineRule="auto"/>
        <w:tabs>
          <w:tab w:leader="none" w:pos="11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LYL797, LYL845 or any other product candidates we may develop, including additional indications that we may pursue;</w:t>
      </w:r>
    </w:p>
    <w:p>
      <w:pPr>
        <w:spacing w:after="0" w:line="305"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346" w:lineRule="exact"/>
        <w:rPr>
          <w:rFonts w:ascii="Arial" w:cs="Arial" w:eastAsia="Arial" w:hAnsi="Arial"/>
          <w:sz w:val="18"/>
          <w:szCs w:val="18"/>
          <w:color w:val="auto"/>
        </w:rPr>
      </w:pPr>
    </w:p>
    <w:p>
      <w:pPr>
        <w:ind w:right="520" w:firstLine="8"/>
        <w:spacing w:after="0" w:line="277" w:lineRule="auto"/>
        <w:tabs>
          <w:tab w:leader="none" w:pos="11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LYL797, LYL845 or any other product candidates we may develop for clinical trials and for commercial use, if approved;</w:t>
      </w:r>
    </w:p>
    <w:p>
      <w:pPr>
        <w:spacing w:after="0" w:line="305" w:lineRule="exact"/>
        <w:rPr>
          <w:rFonts w:ascii="Arial" w:cs="Arial" w:eastAsia="Arial" w:hAnsi="Arial"/>
          <w:sz w:val="18"/>
          <w:szCs w:val="18"/>
          <w:color w:val="auto"/>
        </w:rPr>
      </w:pPr>
    </w:p>
    <w:p>
      <w:pPr>
        <w:ind w:right="160" w:firstLine="8"/>
        <w:spacing w:after="0" w:line="277" w:lineRule="auto"/>
        <w:tabs>
          <w:tab w:leader="none" w:pos="11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LYL797, LYL845 or any other product candidates we may develop, as well as the pricing and reimbursement of LYL797, LYL845 or any other product candidates we may develop, if approved;</w:t>
      </w:r>
    </w:p>
    <w:p>
      <w:pPr>
        <w:spacing w:after="0" w:line="305" w:lineRule="exact"/>
        <w:rPr>
          <w:rFonts w:ascii="Arial" w:cs="Arial" w:eastAsia="Arial" w:hAnsi="Arial"/>
          <w:sz w:val="18"/>
          <w:szCs w:val="18"/>
          <w:color w:val="auto"/>
        </w:rPr>
      </w:pPr>
    </w:p>
    <w:p>
      <w:pPr>
        <w:ind w:right="580" w:firstLine="8"/>
        <w:spacing w:after="0" w:line="277" w:lineRule="auto"/>
        <w:tabs>
          <w:tab w:leader="none" w:pos="11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LYL797, LYL845 or any other product candidates we may develop, and for the manufacture of our product candidates;</w:t>
      </w:r>
    </w:p>
    <w:p>
      <w:pPr>
        <w:spacing w:after="0" w:line="305" w:lineRule="exact"/>
        <w:rPr>
          <w:rFonts w:ascii="Arial" w:cs="Arial" w:eastAsia="Arial" w:hAnsi="Arial"/>
          <w:sz w:val="18"/>
          <w:szCs w:val="18"/>
          <w:color w:val="auto"/>
        </w:rPr>
      </w:pPr>
    </w:p>
    <w:p>
      <w:pPr>
        <w:ind w:right="80" w:firstLine="8"/>
        <w:spacing w:after="0" w:line="277" w:lineRule="auto"/>
        <w:tabs>
          <w:tab w:leader="none" w:pos="11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LYL797, LYL845 or any other product candidates we may develop;</w:t>
      </w:r>
    </w:p>
    <w:p>
      <w:pPr>
        <w:spacing w:after="0" w:line="305"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personnel and to identify, hire, and then retain additional qualified personnel;</w:t>
      </w:r>
    </w:p>
    <w:p>
      <w:pPr>
        <w:spacing w:after="0" w:line="346" w:lineRule="exact"/>
        <w:rPr>
          <w:rFonts w:ascii="Arial" w:cs="Arial" w:eastAsia="Arial" w:hAnsi="Arial"/>
          <w:sz w:val="18"/>
          <w:szCs w:val="18"/>
          <w:color w:val="auto"/>
        </w:rPr>
      </w:pPr>
    </w:p>
    <w:p>
      <w:pPr>
        <w:ind w:right="260" w:firstLine="8"/>
        <w:spacing w:after="0" w:line="277" w:lineRule="auto"/>
        <w:tabs>
          <w:tab w:leader="none" w:pos="11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 and operations, including clinical trials, manufacturing suppliers, collaborators, use of contract research organizations (CROs) and employees;</w:t>
      </w:r>
    </w:p>
    <w:p>
      <w:pPr>
        <w:spacing w:after="0" w:line="305" w:lineRule="exact"/>
        <w:rPr>
          <w:rFonts w:ascii="Arial" w:cs="Arial" w:eastAsia="Arial" w:hAnsi="Arial"/>
          <w:sz w:val="18"/>
          <w:szCs w:val="18"/>
          <w:color w:val="auto"/>
        </w:rPr>
      </w:pPr>
    </w:p>
    <w:p>
      <w:pPr>
        <w:ind w:right="480" w:firstLine="8"/>
        <w:spacing w:after="0" w:line="277" w:lineRule="auto"/>
        <w:tabs>
          <w:tab w:leader="none" w:pos="11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(the JOBS Act); and</w:t>
      </w:r>
    </w:p>
    <w:p>
      <w:pPr>
        <w:spacing w:after="0" w:line="305"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cash, cash equivalents and marketable securities.</w:t>
      </w:r>
    </w:p>
    <w:p>
      <w:pPr>
        <w:spacing w:after="0" w:line="34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these forward-looking statements. Except as required by applicable law, we undertake no obligation to update or supplement any forward-looking statements publicly, or to update or supplement the reasons that actual results could differ materially from those projected in these forward-looking statements, even if new information becomes available in the future.</w:t>
      </w:r>
    </w:p>
    <w:p>
      <w:pPr>
        <w:spacing w:after="0" w:line="31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Lyell Immunopharma,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December 31,</w:t>
            </w:r>
          </w:p>
        </w:tc>
      </w:tr>
      <w:tr>
        <w:trPr>
          <w:trHeight w:val="246"/>
        </w:trPr>
        <w:tc>
          <w:tcPr>
            <w:tcW w:w="78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0"/>
        </w:trPr>
        <w:tc>
          <w:tcPr>
            <w:tcW w:w="7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(unaudited)</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8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564,441</w:t>
            </w: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140,406</w:t>
            </w:r>
          </w:p>
        </w:tc>
        <w:tc>
          <w:tcPr>
            <w:tcW w:w="100" w:type="dxa"/>
            <w:vAlign w:val="bottom"/>
            <w:shd w:val="clear" w:color="auto" w:fill="CFF0FC"/>
          </w:tcPr>
          <w:p>
            <w:pPr>
              <w:spacing w:after="0"/>
              <w:rPr>
                <w:sz w:val="22"/>
                <w:szCs w:val="22"/>
                <w:color w:val="auto"/>
              </w:rPr>
            </w:pPr>
          </w:p>
        </w:tc>
      </w:tr>
      <w:tr>
        <w:trPr>
          <w:trHeight w:val="250"/>
        </w:trPr>
        <w:tc>
          <w:tcPr>
            <w:tcW w:w="7880" w:type="dxa"/>
            <w:vAlign w:val="bottom"/>
          </w:tcPr>
          <w:p>
            <w:pPr>
              <w:ind w:left="280"/>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260,082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472,213</w:t>
            </w:r>
          </w:p>
        </w:tc>
        <w:tc>
          <w:tcPr>
            <w:tcW w:w="100" w:type="dxa"/>
            <w:vAlign w:val="bottom"/>
          </w:tcPr>
          <w:p>
            <w:pPr>
              <w:spacing w:after="0"/>
              <w:rPr>
                <w:sz w:val="21"/>
                <w:szCs w:val="21"/>
                <w:color w:val="auto"/>
              </w:rPr>
            </w:pPr>
          </w:p>
        </w:tc>
      </w:tr>
      <w:tr>
        <w:trPr>
          <w:trHeight w:val="263"/>
        </w:trPr>
        <w:tc>
          <w:tcPr>
            <w:tcW w:w="78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10,317</w:t>
            </w:r>
          </w:p>
        </w:tc>
        <w:tc>
          <w:tcPr>
            <w:tcW w:w="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834,840</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617,547</w:t>
            </w:r>
          </w:p>
        </w:tc>
        <w:tc>
          <w:tcPr>
            <w:tcW w:w="100" w:type="dxa"/>
            <w:vAlign w:val="bottom"/>
          </w:tcPr>
          <w:p>
            <w:pPr>
              <w:spacing w:after="0"/>
              <w:rPr>
                <w:sz w:val="21"/>
                <w:szCs w:val="21"/>
                <w:color w:val="auto"/>
              </w:rPr>
            </w:pPr>
          </w:p>
        </w:tc>
      </w:tr>
      <w:tr>
        <w:trPr>
          <w:trHeight w:val="263"/>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FF0FC"/>
          </w:tcPr>
          <w:p>
            <w:pPr>
              <w:spacing w:after="0"/>
              <w:rPr>
                <w:sz w:val="22"/>
                <w:szCs w:val="22"/>
                <w:color w:val="auto"/>
              </w:rPr>
            </w:pPr>
          </w:p>
        </w:tc>
      </w:tr>
      <w:tr>
        <w:trPr>
          <w:trHeight w:val="250"/>
        </w:trPr>
        <w:tc>
          <w:tcPr>
            <w:tcW w:w="7880" w:type="dxa"/>
            <w:vAlign w:val="bottom"/>
          </w:tcPr>
          <w:p>
            <w:pPr>
              <w:ind w:left="20"/>
              <w:spacing w:after="0"/>
              <w:rPr>
                <w:sz w:val="20"/>
                <w:szCs w:val="20"/>
                <w:color w:val="auto"/>
              </w:rPr>
            </w:pPr>
            <w:r>
              <w:rPr>
                <w:rFonts w:ascii="Arial" w:cs="Arial" w:eastAsia="Arial" w:hAnsi="Arial"/>
                <w:sz w:val="18"/>
                <w:szCs w:val="18"/>
                <w:color w:val="auto"/>
              </w:rPr>
              <w:t>Long-term marketable securities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150,261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79,995</w:t>
            </w:r>
          </w:p>
        </w:tc>
        <w:tc>
          <w:tcPr>
            <w:tcW w:w="100" w:type="dxa"/>
            <w:vAlign w:val="bottom"/>
          </w:tcPr>
          <w:p>
            <w:pPr>
              <w:spacing w:after="0"/>
              <w:rPr>
                <w:sz w:val="21"/>
                <w:szCs w:val="21"/>
                <w:color w:val="auto"/>
              </w:rPr>
            </w:pPr>
          </w:p>
        </w:tc>
      </w:tr>
      <w:tr>
        <w:trPr>
          <w:trHeight w:val="263"/>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investments</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83,448</w:t>
            </w: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83,448</w:t>
            </w:r>
          </w:p>
        </w:tc>
        <w:tc>
          <w:tcPr>
            <w:tcW w:w="100" w:type="dxa"/>
            <w:vAlign w:val="bottom"/>
            <w:shd w:val="clear" w:color="auto" w:fill="CFF0FC"/>
          </w:tcPr>
          <w:p>
            <w:pPr>
              <w:spacing w:after="0"/>
              <w:rPr>
                <w:sz w:val="22"/>
                <w:szCs w:val="22"/>
                <w:color w:val="auto"/>
              </w:rPr>
            </w:pPr>
          </w:p>
        </w:tc>
      </w:tr>
      <w:tr>
        <w:trPr>
          <w:trHeight w:val="250"/>
        </w:trPr>
        <w:tc>
          <w:tcPr>
            <w:tcW w:w="78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109,637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77,045</w:t>
            </w:r>
          </w:p>
        </w:tc>
        <w:tc>
          <w:tcPr>
            <w:tcW w:w="100" w:type="dxa"/>
            <w:vAlign w:val="bottom"/>
          </w:tcPr>
          <w:p>
            <w:pPr>
              <w:spacing w:after="0"/>
              <w:rPr>
                <w:sz w:val="21"/>
                <w:szCs w:val="21"/>
                <w:color w:val="auto"/>
              </w:rPr>
            </w:pPr>
          </w:p>
        </w:tc>
      </w:tr>
      <w:tr>
        <w:trPr>
          <w:trHeight w:val="263"/>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net</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48,424</w:t>
            </w: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47,010</w:t>
            </w:r>
          </w:p>
        </w:tc>
        <w:tc>
          <w:tcPr>
            <w:tcW w:w="100" w:type="dxa"/>
            <w:vAlign w:val="bottom"/>
            <w:shd w:val="clear" w:color="auto" w:fill="CFF0FC"/>
          </w:tcPr>
          <w:p>
            <w:pPr>
              <w:spacing w:after="0"/>
              <w:rPr>
                <w:sz w:val="22"/>
                <w:szCs w:val="22"/>
                <w:color w:val="auto"/>
              </w:rPr>
            </w:pPr>
          </w:p>
        </w:tc>
      </w:tr>
      <w:tr>
        <w:trPr>
          <w:trHeight w:val="257"/>
        </w:trPr>
        <w:tc>
          <w:tcPr>
            <w:tcW w:w="78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22"/>
                <w:szCs w:val="22"/>
                <w:color w:val="auto"/>
              </w:rPr>
            </w:pPr>
          </w:p>
        </w:tc>
      </w:tr>
      <w:tr>
        <w:trPr>
          <w:trHeight w:val="290"/>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1,229,867</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908,280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87"/>
        </w:trPr>
        <w:tc>
          <w:tcPr>
            <w:tcW w:w="808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8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4,863</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9,396</w:t>
            </w:r>
          </w:p>
        </w:tc>
        <w:tc>
          <w:tcPr>
            <w:tcW w:w="100" w:type="dxa"/>
            <w:vAlign w:val="bottom"/>
          </w:tcPr>
          <w:p>
            <w:pPr>
              <w:spacing w:after="0"/>
              <w:rPr>
                <w:sz w:val="21"/>
                <w:szCs w:val="21"/>
                <w:color w:val="auto"/>
              </w:rPr>
            </w:pPr>
          </w:p>
        </w:tc>
      </w:tr>
      <w:tr>
        <w:trPr>
          <w:trHeight w:val="263"/>
        </w:trPr>
        <w:tc>
          <w:tcPr>
            <w:tcW w:w="7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liabilities and other current liabilities</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25,568</w:t>
            </w: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28,021</w:t>
            </w:r>
          </w:p>
        </w:tc>
        <w:tc>
          <w:tcPr>
            <w:tcW w:w="100" w:type="dxa"/>
            <w:vAlign w:val="bottom"/>
            <w:shd w:val="clear" w:color="auto" w:fill="CFF0FC"/>
          </w:tcPr>
          <w:p>
            <w:pPr>
              <w:spacing w:after="0"/>
              <w:rPr>
                <w:sz w:val="22"/>
                <w:szCs w:val="22"/>
                <w:color w:val="auto"/>
              </w:rPr>
            </w:pPr>
          </w:p>
        </w:tc>
      </w:tr>
      <w:tr>
        <w:trPr>
          <w:trHeight w:val="250"/>
        </w:trPr>
        <w:tc>
          <w:tcPr>
            <w:tcW w:w="7880" w:type="dxa"/>
            <w:vAlign w:val="bottom"/>
          </w:tcPr>
          <w:p>
            <w:pPr>
              <w:ind w:left="280"/>
              <w:spacing w:after="0"/>
              <w:rPr>
                <w:sz w:val="20"/>
                <w:szCs w:val="20"/>
                <w:color w:val="auto"/>
              </w:rPr>
            </w:pPr>
            <w:r>
              <w:rPr>
                <w:rFonts w:ascii="Arial" w:cs="Arial" w:eastAsia="Arial" w:hAnsi="Arial"/>
                <w:sz w:val="18"/>
                <w:szCs w:val="18"/>
                <w:color w:val="auto"/>
              </w:rPr>
              <w:t>Success payment liabilities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21"/>
                <w:szCs w:val="21"/>
                <w:color w:val="auto"/>
              </w:rPr>
            </w:pPr>
          </w:p>
        </w:tc>
      </w:tr>
      <w:tr>
        <w:trPr>
          <w:trHeight w:val="263"/>
        </w:trPr>
        <w:tc>
          <w:tcPr>
            <w:tcW w:w="78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8,226</w:t>
            </w:r>
          </w:p>
        </w:tc>
        <w:tc>
          <w:tcPr>
            <w:tcW w:w="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63,663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49,285</w:t>
            </w:r>
          </w:p>
        </w:tc>
        <w:tc>
          <w:tcPr>
            <w:tcW w:w="100" w:type="dxa"/>
            <w:vAlign w:val="bottom"/>
          </w:tcPr>
          <w:p>
            <w:pPr>
              <w:spacing w:after="0"/>
              <w:rPr>
                <w:sz w:val="21"/>
                <w:szCs w:val="21"/>
                <w:color w:val="auto"/>
              </w:rPr>
            </w:pPr>
          </w:p>
        </w:tc>
      </w:tr>
      <w:tr>
        <w:trPr>
          <w:trHeight w:val="263"/>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61,471</w:t>
            </w: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50,957</w:t>
            </w:r>
          </w:p>
        </w:tc>
        <w:tc>
          <w:tcPr>
            <w:tcW w:w="100" w:type="dxa"/>
            <w:vAlign w:val="bottom"/>
            <w:shd w:val="clear" w:color="auto" w:fill="CFF0FC"/>
          </w:tcPr>
          <w:p>
            <w:pPr>
              <w:spacing w:after="0"/>
              <w:rPr>
                <w:sz w:val="22"/>
                <w:szCs w:val="22"/>
                <w:color w:val="auto"/>
              </w:rPr>
            </w:pPr>
          </w:p>
        </w:tc>
      </w:tr>
      <w:tr>
        <w:trPr>
          <w:trHeight w:val="250"/>
        </w:trPr>
        <w:tc>
          <w:tcPr>
            <w:tcW w:w="788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81,878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89,066</w:t>
            </w:r>
          </w:p>
        </w:tc>
        <w:tc>
          <w:tcPr>
            <w:tcW w:w="100" w:type="dxa"/>
            <w:vAlign w:val="bottom"/>
          </w:tcPr>
          <w:p>
            <w:pPr>
              <w:spacing w:after="0"/>
              <w:rPr>
                <w:sz w:val="21"/>
                <w:szCs w:val="21"/>
                <w:color w:val="auto"/>
              </w:rPr>
            </w:pPr>
          </w:p>
        </w:tc>
      </w:tr>
      <w:tr>
        <w:trPr>
          <w:trHeight w:val="263"/>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8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207,912</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189,840</w:t>
            </w:r>
          </w:p>
        </w:tc>
        <w:tc>
          <w:tcPr>
            <w:tcW w:w="100" w:type="dxa"/>
            <w:vAlign w:val="bottom"/>
          </w:tcPr>
          <w:p>
            <w:pPr>
              <w:spacing w:after="0"/>
              <w:rPr>
                <w:sz w:val="21"/>
                <w:szCs w:val="21"/>
                <w:color w:val="auto"/>
              </w:rPr>
            </w:pPr>
          </w:p>
        </w:tc>
      </w:tr>
      <w:tr>
        <w:trPr>
          <w:trHeight w:val="250"/>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Commitments and contingencies (Note 12)</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Convertible preferred stock, $0.0001 par value; zero and 195,021 shares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authorized at June 30, 2021 and December 31, 2020, respectively; zero and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194,474 shares issued and outstanding at June 30, 2021 and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788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1,010,968</w:t>
            </w:r>
          </w:p>
        </w:tc>
        <w:tc>
          <w:tcPr>
            <w:tcW w:w="100" w:type="dxa"/>
            <w:vAlign w:val="bottom"/>
          </w:tcPr>
          <w:p>
            <w:pPr>
              <w:spacing w:after="0"/>
              <w:rPr>
                <w:sz w:val="20"/>
                <w:szCs w:val="20"/>
                <w:color w:val="auto"/>
              </w:rPr>
            </w:pPr>
          </w:p>
        </w:tc>
      </w:tr>
      <w:tr>
        <w:trPr>
          <w:trHeight w:val="263"/>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 (deficit):</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Preferred stock, $0.0001 par value; 10,000 and zero shares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authorized at June 30, 2021 and December 31, 2020, respectively; zero shares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7880" w:type="dxa"/>
            <w:vAlign w:val="bottom"/>
          </w:tcPr>
          <w:p>
            <w:pPr>
              <w:ind w:left="180"/>
              <w:spacing w:after="0"/>
              <w:rPr>
                <w:sz w:val="20"/>
                <w:szCs w:val="20"/>
                <w:color w:val="auto"/>
              </w:rPr>
            </w:pPr>
            <w:r>
              <w:rPr>
                <w:rFonts w:ascii="Arial" w:cs="Arial" w:eastAsia="Arial" w:hAnsi="Arial"/>
                <w:sz w:val="18"/>
                <w:szCs w:val="18"/>
                <w:color w:val="auto"/>
              </w:rPr>
              <w:t>issued and outstanding at June 30, 2021 and December 31, 2020</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0"/>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$0.0001 par value; 500,000 and 264,905 shares authorized</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at June 30, 2021 and December 31, 2020, respectively; 238,549 and 15,570</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shares issued and outstanding at June 30, 2021 and at December 31, 2020,</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7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r>
      <w:tr>
        <w:trPr>
          <w:trHeight w:val="250"/>
        </w:trPr>
        <w:tc>
          <w:tcPr>
            <w:tcW w:w="78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1,473,639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41,357</w:t>
            </w:r>
          </w:p>
        </w:tc>
        <w:tc>
          <w:tcPr>
            <w:tcW w:w="100" w:type="dxa"/>
            <w:vAlign w:val="bottom"/>
          </w:tcPr>
          <w:p>
            <w:pPr>
              <w:spacing w:after="0"/>
              <w:rPr>
                <w:sz w:val="21"/>
                <w:szCs w:val="21"/>
                <w:color w:val="auto"/>
              </w:rPr>
            </w:pPr>
          </w:p>
        </w:tc>
      </w:tr>
      <w:tr>
        <w:trPr>
          <w:trHeight w:val="263"/>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22"/>
                <w:szCs w:val="22"/>
                <w:color w:val="auto"/>
              </w:rPr>
            </w:pPr>
          </w:p>
        </w:tc>
      </w:tr>
      <w:tr>
        <w:trPr>
          <w:trHeight w:val="256"/>
        </w:trPr>
        <w:tc>
          <w:tcPr>
            <w:tcW w:w="78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(451,781 )</w:t>
            </w:r>
          </w:p>
        </w:tc>
        <w:tc>
          <w:tcPr>
            <w:tcW w:w="120" w:type="dxa"/>
            <w:vAlign w:val="bottom"/>
          </w:tcPr>
          <w:p>
            <w:pPr>
              <w:spacing w:after="0"/>
              <w:rPr>
                <w:sz w:val="22"/>
                <w:szCs w:val="22"/>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(334,143 )</w:t>
            </w:r>
          </w:p>
        </w:tc>
      </w:tr>
      <w:tr>
        <w:trPr>
          <w:trHeight w:val="20"/>
        </w:trPr>
        <w:tc>
          <w:tcPr>
            <w:tcW w:w="7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1,021,955</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(292,528 )</w:t>
            </w:r>
          </w:p>
        </w:tc>
      </w:tr>
      <w:tr>
        <w:trPr>
          <w:trHeight w:val="250"/>
        </w:trPr>
        <w:tc>
          <w:tcPr>
            <w:tcW w:w="7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1,229,867</w:t>
            </w:r>
          </w:p>
        </w:tc>
        <w:tc>
          <w:tcPr>
            <w:tcW w:w="30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908,280</w:t>
            </w:r>
          </w:p>
        </w:tc>
        <w:tc>
          <w:tcPr>
            <w:tcW w:w="100" w:type="dxa"/>
            <w:vAlign w:val="bottom"/>
            <w:tcBorders>
              <w:top w:val="single" w:sz="8" w:color="CFF0FC"/>
            </w:tcBorders>
          </w:tcPr>
          <w:p>
            <w:pPr>
              <w:spacing w:after="0"/>
              <w:rPr>
                <w:sz w:val="21"/>
                <w:szCs w:val="21"/>
                <w:color w:val="auto"/>
              </w:rPr>
            </w:pP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-6160135</wp:posOffset>
            </wp:positionV>
            <wp:extent cx="18859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-6160135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-4842510</wp:posOffset>
            </wp:positionV>
            <wp:extent cx="1885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-4825365</wp:posOffset>
            </wp:positionV>
            <wp:extent cx="1885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-4842510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-4825365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-3674110</wp:posOffset>
            </wp:positionV>
            <wp:extent cx="18859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-3674110</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-3013710</wp:posOffset>
            </wp:positionV>
            <wp:extent cx="18859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-3013710</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-193675</wp:posOffset>
            </wp:positionV>
            <wp:extent cx="18859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Lyell Immunopharma,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1"/>
                <w:szCs w:val="21"/>
                <w:color w:val="auto"/>
              </w:rPr>
            </w:pPr>
          </w:p>
        </w:tc>
        <w:tc>
          <w:tcPr>
            <w:tcW w:w="28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5,073</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46,446</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97,152</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87,975</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122,652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19,112</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35,943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operating income, net</w:t>
            </w:r>
          </w:p>
        </w:tc>
        <w:tc>
          <w:tcPr>
            <w:tcW w:w="18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(223 )</w:t>
            </w:r>
          </w:p>
        </w:tc>
        <w:tc>
          <w:tcPr>
            <w:tcW w:w="3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(1,030 )</w:t>
            </w:r>
          </w:p>
        </w:tc>
        <w:tc>
          <w:tcPr>
            <w:tcW w:w="22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(768 )</w:t>
            </w:r>
          </w:p>
        </w:tc>
        <w:tc>
          <w:tcPr>
            <w:tcW w:w="3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(1,150 )</w:t>
            </w:r>
          </w:p>
        </w:tc>
        <w:tc>
          <w:tcPr>
            <w:tcW w:w="0" w:type="dxa"/>
            <w:vAlign w:val="bottom"/>
          </w:tcPr>
          <w:p>
            <w:pPr>
              <w:spacing w:after="0"/>
              <w:rPr>
                <w:sz w:val="1"/>
                <w:szCs w:val="1"/>
                <w:color w:val="auto"/>
              </w:rPr>
            </w:pPr>
          </w:p>
        </w:tc>
      </w:tr>
      <w:tr>
        <w:trPr>
          <w:trHeight w:val="250"/>
        </w:trPr>
        <w:tc>
          <w:tcPr>
            <w:tcW w:w="4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65,335</w:t>
            </w:r>
          </w:p>
        </w:tc>
        <w:tc>
          <w:tcPr>
            <w:tcW w:w="26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105,684</w:t>
            </w:r>
          </w:p>
        </w:tc>
        <w:tc>
          <w:tcPr>
            <w:tcW w:w="24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123,150</w:t>
            </w:r>
          </w:p>
        </w:tc>
        <w:tc>
          <w:tcPr>
            <w:tcW w:w="24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139,944</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(62,707 )</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(102,566 )</w:t>
            </w: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(118,077 )</w:t>
            </w: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(135,570 )</w:t>
            </w:r>
          </w:p>
        </w:tc>
        <w:tc>
          <w:tcPr>
            <w:tcW w:w="0" w:type="dxa"/>
            <w:vAlign w:val="bottom"/>
          </w:tcPr>
          <w:p>
            <w:pPr>
              <w:spacing w:after="0"/>
              <w:rPr>
                <w:sz w:val="1"/>
                <w:szCs w:val="1"/>
                <w:color w:val="auto"/>
              </w:rPr>
            </w:pPr>
          </w:p>
        </w:tc>
      </w:tr>
      <w:tr>
        <w:trPr>
          <w:trHeight w:val="250"/>
        </w:trPr>
        <w:tc>
          <w:tcPr>
            <w:tcW w:w="48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(106 )</w:t>
            </w: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(133 )</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(62,595 )</w:t>
            </w:r>
          </w:p>
        </w:tc>
        <w:tc>
          <w:tcPr>
            <w:tcW w:w="3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(100,656 )</w:t>
            </w:r>
          </w:p>
        </w:tc>
        <w:tc>
          <w:tcPr>
            <w:tcW w:w="2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(117,638 )</w:t>
            </w: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(129,896 )</w:t>
            </w:r>
          </w:p>
        </w:tc>
        <w:tc>
          <w:tcPr>
            <w:tcW w:w="0" w:type="dxa"/>
            <w:vAlign w:val="bottom"/>
          </w:tcPr>
          <w:p>
            <w:pPr>
              <w:spacing w:after="0"/>
              <w:rPr>
                <w:sz w:val="1"/>
                <w:szCs w:val="1"/>
                <w:color w:val="auto"/>
              </w:rPr>
            </w:pPr>
          </w:p>
        </w:tc>
      </w:tr>
      <w:tr>
        <w:trPr>
          <w:trHeight w:val="26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 gain:</w:t>
            </w: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Net unrealized (loss) gain on marketable</w:t>
            </w:r>
          </w:p>
        </w:tc>
        <w:tc>
          <w:tcPr>
            <w:tcW w:w="180" w:type="dxa"/>
            <w:vAlign w:val="bottom"/>
          </w:tcPr>
          <w:p>
            <w:pPr>
              <w:spacing w:after="0"/>
              <w:rPr>
                <w:sz w:val="21"/>
                <w:szCs w:val="21"/>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(90 )</w:t>
            </w:r>
          </w:p>
        </w:tc>
        <w:tc>
          <w:tcPr>
            <w:tcW w:w="320" w:type="dxa"/>
            <w:vAlign w:val="bottom"/>
          </w:tcPr>
          <w:p>
            <w:pPr>
              <w:spacing w:after="0"/>
              <w:rPr>
                <w:sz w:val="21"/>
                <w:szCs w:val="2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(183 )</w:t>
            </w:r>
          </w:p>
        </w:tc>
        <w:tc>
          <w:tcPr>
            <w:tcW w:w="30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420"/>
              <w:spacing w:after="0"/>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comprehensive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(62,685 )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(100,551 )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(117,821 )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(129,159 )</w:t>
            </w:r>
          </w:p>
        </w:tc>
        <w:tc>
          <w:tcPr>
            <w:tcW w:w="0" w:type="dxa"/>
            <w:vAlign w:val="bottom"/>
          </w:tcPr>
          <w:p>
            <w:pPr>
              <w:spacing w:after="0"/>
              <w:rPr>
                <w:sz w:val="1"/>
                <w:szCs w:val="1"/>
                <w:color w:val="auto"/>
              </w:rPr>
            </w:pPr>
          </w:p>
        </w:tc>
      </w:tr>
      <w:tr>
        <w:trPr>
          <w:trHeight w:val="230"/>
        </w:trPr>
        <w:tc>
          <w:tcPr>
            <w:tcW w:w="4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loss attributed to common stockholders: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(62,595 )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(100,656 )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(117,638 )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(129,896 )</w:t>
            </w:r>
          </w:p>
        </w:tc>
        <w:tc>
          <w:tcPr>
            <w:tcW w:w="0" w:type="dxa"/>
            <w:vAlign w:val="bottom"/>
          </w:tcPr>
          <w:p>
            <w:pPr>
              <w:spacing w:after="0"/>
              <w:rPr>
                <w:sz w:val="1"/>
                <w:szCs w:val="1"/>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Deemed dividends upon repurchase of</w:t>
            </w:r>
          </w:p>
        </w:tc>
        <w:tc>
          <w:tcPr>
            <w:tcW w:w="180" w:type="dxa"/>
            <w:vAlign w:val="bottom"/>
          </w:tcPr>
          <w:p>
            <w:pPr>
              <w:spacing w:after="0"/>
              <w:rPr>
                <w:sz w:val="21"/>
                <w:szCs w:val="2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(3,582 )</w:t>
            </w:r>
          </w:p>
        </w:tc>
        <w:tc>
          <w:tcPr>
            <w:tcW w:w="0" w:type="dxa"/>
            <w:vAlign w:val="bottom"/>
          </w:tcPr>
          <w:p>
            <w:pPr>
              <w:spacing w:after="0"/>
              <w:rPr>
                <w:sz w:val="1"/>
                <w:szCs w:val="1"/>
                <w:color w:val="auto"/>
              </w:rPr>
            </w:pPr>
          </w:p>
        </w:tc>
      </w:tr>
      <w:tr>
        <w:trPr>
          <w:trHeight w:val="229"/>
        </w:trPr>
        <w:tc>
          <w:tcPr>
            <w:tcW w:w="4820" w:type="dxa"/>
            <w:vAlign w:val="bottom"/>
          </w:tcPr>
          <w:p>
            <w:pPr>
              <w:ind w:left="420"/>
              <w:spacing w:after="0"/>
              <w:rPr>
                <w:sz w:val="20"/>
                <w:szCs w:val="20"/>
                <w:color w:val="auto"/>
              </w:rPr>
            </w:pPr>
            <w:r>
              <w:rPr>
                <w:rFonts w:ascii="Arial" w:cs="Arial" w:eastAsia="Arial" w:hAnsi="Arial"/>
                <w:sz w:val="18"/>
                <w:szCs w:val="18"/>
                <w:color w:val="auto"/>
              </w:rPr>
              <w:t>convertible preferred stock</w:t>
            </w: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attributed to common stockholders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(62,595 )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(100,656 )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(117,638 )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(133,478 )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(1.47 )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(8.18 )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(3.91 )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(11.14 )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shares used to compute net</w:t>
            </w:r>
          </w:p>
        </w:tc>
        <w:tc>
          <w:tcPr>
            <w:tcW w:w="180" w:type="dxa"/>
            <w:vAlign w:val="bottom"/>
            <w:shd w:val="clear" w:color="auto" w:fill="CFF0FC"/>
          </w:tcPr>
          <w:p>
            <w:pPr>
              <w:spacing w:after="0"/>
              <w:rPr>
                <w:sz w:val="19"/>
                <w:szCs w:val="19"/>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42,713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12,313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30,063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11,984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loss per common share, basic and diluted</w:t>
            </w: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-2799715</wp:posOffset>
            </wp:positionV>
            <wp:extent cx="1714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-2799715</wp:posOffset>
            </wp:positionV>
            <wp:extent cx="15430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-2799715</wp:posOffset>
            </wp:positionV>
            <wp:extent cx="15430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-2799715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-2131060</wp:posOffset>
            </wp:positionV>
            <wp:extent cx="1714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-2131060</wp:posOffset>
            </wp:positionV>
            <wp:extent cx="1543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-2131060</wp:posOffset>
            </wp:positionV>
            <wp:extent cx="15430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-2131060</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-1327785</wp:posOffset>
            </wp:positionV>
            <wp:extent cx="1714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-1310640</wp:posOffset>
            </wp:positionV>
            <wp:extent cx="1714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-1327785</wp:posOffset>
            </wp:positionV>
            <wp:extent cx="1543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-1310640</wp:posOffset>
            </wp:positionV>
            <wp:extent cx="1543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-1327785</wp:posOffset>
            </wp:positionV>
            <wp:extent cx="1543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-1310640</wp:posOffset>
            </wp:positionV>
            <wp:extent cx="1543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-502285</wp:posOffset>
            </wp:positionV>
            <wp:extent cx="17145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-502285</wp:posOffset>
            </wp:positionV>
            <wp:extent cx="15430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-502285</wp:posOffset>
            </wp:positionV>
            <wp:extent cx="15430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-502285</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1714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1714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1543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1543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154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1543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Lyell Immunopharma,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(Deficit) Equity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2080" w:type="dxa"/>
            <w:vAlign w:val="bottom"/>
            <w:gridSpan w:val="4"/>
            <w:vMerge w:val="restart"/>
          </w:tcPr>
          <w:p>
            <w:pPr>
              <w:jc w:val="right"/>
              <w:ind w:right="28"/>
              <w:spacing w:after="0"/>
              <w:rPr>
                <w:sz w:val="20"/>
                <w:szCs w:val="20"/>
                <w:color w:val="auto"/>
              </w:rPr>
            </w:pPr>
            <w:r>
              <w:rPr>
                <w:rFonts w:ascii="Arial" w:cs="Arial" w:eastAsia="Arial" w:hAnsi="Arial"/>
                <w:sz w:val="14"/>
                <w:szCs w:val="14"/>
                <w:b w:val="1"/>
                <w:bCs w:val="1"/>
                <w:color w:val="auto"/>
              </w:rPr>
              <w:t>Convertible Preferred Stock</w:t>
            </w:r>
          </w:p>
        </w:tc>
        <w:tc>
          <w:tcPr>
            <w:tcW w:w="240" w:type="dxa"/>
            <w:vAlign w:val="bottom"/>
            <w:vMerge w:val="restart"/>
          </w:tcPr>
          <w:p>
            <w:pPr>
              <w:spacing w:after="0"/>
              <w:rPr>
                <w:sz w:val="16"/>
                <w:szCs w:val="16"/>
                <w:color w:val="auto"/>
              </w:rPr>
            </w:pPr>
          </w:p>
        </w:tc>
        <w:tc>
          <w:tcPr>
            <w:tcW w:w="200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rPr>
              <w:t>Comprehensiv</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00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e</w:t>
            </w:r>
          </w:p>
        </w:tc>
        <w:tc>
          <w:tcPr>
            <w:tcW w:w="8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6"/>
                <w:szCs w:val="16"/>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(Deficit) 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as of March 31, 2021</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194,474</w:t>
            </w: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1,010,968</w:t>
            </w:r>
          </w:p>
        </w:tc>
        <w:tc>
          <w:tcPr>
            <w:tcW w:w="240" w:type="dxa"/>
            <w:vAlign w:val="bottom"/>
            <w:tcBorders>
              <w:right w:val="single" w:sz="8" w:color="auto"/>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17,831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54,973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163</w:t>
            </w:r>
          </w:p>
        </w:tc>
        <w:tc>
          <w:tcPr>
            <w:tcW w:w="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(389,186 )</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(334,048 )</w:t>
            </w:r>
          </w:p>
        </w:tc>
        <w:tc>
          <w:tcPr>
            <w:tcW w:w="0" w:type="dxa"/>
            <w:vAlign w:val="bottom"/>
          </w:tcPr>
          <w:p>
            <w:pPr>
              <w:spacing w:after="0"/>
              <w:rPr>
                <w:sz w:val="1"/>
                <w:szCs w:val="1"/>
                <w:color w:val="auto"/>
              </w:rPr>
            </w:pPr>
          </w:p>
        </w:tc>
      </w:tr>
      <w:tr>
        <w:trPr>
          <w:trHeight w:val="191"/>
        </w:trPr>
        <w:tc>
          <w:tcPr>
            <w:tcW w:w="2120" w:type="dxa"/>
            <w:vAlign w:val="bottom"/>
          </w:tcPr>
          <w:p>
            <w:pPr>
              <w:ind w:left="20"/>
              <w:spacing w:after="0"/>
              <w:rPr>
                <w:sz w:val="20"/>
                <w:szCs w:val="20"/>
                <w:color w:val="auto"/>
              </w:rPr>
            </w:pPr>
            <w:r>
              <w:rPr>
                <w:rFonts w:ascii="Arial" w:cs="Arial" w:eastAsia="Arial" w:hAnsi="Arial"/>
                <w:sz w:val="14"/>
                <w:szCs w:val="14"/>
                <w:color w:val="auto"/>
              </w:rPr>
              <w:t>Proceeds from initial public</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4"/>
                <w:szCs w:val="14"/>
                <w:color w:val="auto"/>
              </w:rPr>
              <w:t>offering,</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140"/>
              <w:spacing w:after="0"/>
              <w:rPr>
                <w:sz w:val="20"/>
                <w:szCs w:val="20"/>
                <w:color w:val="auto"/>
              </w:rPr>
            </w:pPr>
            <w:r>
              <w:rPr>
                <w:rFonts w:ascii="Arial" w:cs="Arial" w:eastAsia="Arial" w:hAnsi="Arial"/>
                <w:sz w:val="14"/>
                <w:szCs w:val="14"/>
                <w:color w:val="auto"/>
              </w:rPr>
              <w:t>net of $33,159 in issuance</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20"/>
              <w:spacing w:after="0"/>
              <w:rPr>
                <w:sz w:val="20"/>
                <w:szCs w:val="20"/>
                <w:color w:val="auto"/>
              </w:rPr>
            </w:pPr>
            <w:r>
              <w:rPr>
                <w:rFonts w:ascii="Arial" w:cs="Arial" w:eastAsia="Arial" w:hAnsi="Arial"/>
                <w:sz w:val="14"/>
                <w:szCs w:val="14"/>
                <w:color w:val="auto"/>
              </w:rPr>
              <w:t>costs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391,839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391,841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Conversion of convertible</w:t>
            </w:r>
          </w:p>
        </w:tc>
        <w:tc>
          <w:tcPr>
            <w:tcW w:w="94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tcBorders>
              <w:lef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preferred</w:t>
            </w:r>
          </w:p>
        </w:tc>
        <w:tc>
          <w:tcPr>
            <w:tcW w:w="94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92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2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stock to common stock</w:t>
            </w: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(194,474 )</w:t>
            </w:r>
          </w:p>
        </w:tc>
        <w:tc>
          <w:tcPr>
            <w:tcW w:w="140" w:type="dxa"/>
            <w:vAlign w:val="bottom"/>
            <w:shd w:val="clear" w:color="auto" w:fill="CFF0FC"/>
          </w:tcPr>
          <w:p>
            <w:pPr>
              <w:spacing w:after="0"/>
              <w:rPr>
                <w:sz w:val="16"/>
                <w:szCs w:val="16"/>
                <w:color w:val="auto"/>
              </w:rPr>
            </w:pPr>
          </w:p>
        </w:tc>
        <w:tc>
          <w:tcPr>
            <w:tcW w:w="10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(1,010,968 )</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194,474</w:t>
            </w: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1,010,948</w:t>
            </w:r>
          </w:p>
        </w:tc>
        <w:tc>
          <w:tcPr>
            <w:tcW w:w="10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1,010,968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140"/>
              <w:spacing w:after="0"/>
              <w:rPr>
                <w:sz w:val="20"/>
                <w:szCs w:val="20"/>
                <w:color w:val="auto"/>
              </w:rPr>
            </w:pPr>
            <w:r>
              <w:rPr>
                <w:rFonts w:ascii="Arial" w:cs="Arial" w:eastAsia="Arial" w:hAnsi="Arial"/>
                <w:sz w:val="14"/>
                <w:szCs w:val="14"/>
                <w:color w:val="auto"/>
              </w:rPr>
              <w:t>upon exercise of stock</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20"/>
              <w:spacing w:after="0"/>
              <w:rPr>
                <w:sz w:val="20"/>
                <w:szCs w:val="20"/>
                <w:color w:val="auto"/>
              </w:rPr>
            </w:pPr>
            <w:r>
              <w:rPr>
                <w:rFonts w:ascii="Arial" w:cs="Arial" w:eastAsia="Arial" w:hAnsi="Arial"/>
                <w:sz w:val="14"/>
                <w:szCs w:val="14"/>
                <w:color w:val="auto"/>
              </w:rPr>
              <w:t>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975</w:t>
            </w: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15,249</w:t>
            </w:r>
          </w:p>
        </w:tc>
        <w:tc>
          <w:tcPr>
            <w:tcW w:w="10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(90 )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203"/>
        </w:trPr>
        <w:tc>
          <w:tcPr>
            <w:tcW w:w="2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220" w:type="dxa"/>
            <w:vAlign w:val="bottom"/>
            <w:tcBorders>
              <w:left w:val="single" w:sz="8" w:color="CFF0FC"/>
            </w:tcBorders>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(62,595 )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(62,595 )</w:t>
            </w:r>
          </w:p>
        </w:tc>
        <w:tc>
          <w:tcPr>
            <w:tcW w:w="0" w:type="dxa"/>
            <w:vAlign w:val="bottom"/>
          </w:tcPr>
          <w:p>
            <w:pPr>
              <w:spacing w:after="0"/>
              <w:rPr>
                <w:sz w:val="1"/>
                <w:szCs w:val="1"/>
                <w:color w:val="auto"/>
              </w:rPr>
            </w:pPr>
          </w:p>
        </w:tc>
      </w:tr>
      <w:tr>
        <w:trPr>
          <w:trHeight w:val="20"/>
        </w:trPr>
        <w:tc>
          <w:tcPr>
            <w:tcW w:w="212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tcBorders>
              <w:left w:val="single" w:sz="8" w:color="CFF0FC"/>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Pr>
          <w:p>
            <w:pPr>
              <w:ind w:left="20"/>
              <w:spacing w:after="0"/>
              <w:rPr>
                <w:sz w:val="20"/>
                <w:szCs w:val="20"/>
                <w:color w:val="auto"/>
              </w:rPr>
            </w:pPr>
            <w:r>
              <w:rPr>
                <w:rFonts w:ascii="Arial" w:cs="Arial" w:eastAsia="Arial" w:hAnsi="Arial"/>
                <w:sz w:val="14"/>
                <w:szCs w:val="14"/>
                <w:color w:val="auto"/>
              </w:rPr>
              <w:t>Balance as of June 30, 2021</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238,549</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1,473,639</w:t>
            </w: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(451,781 )</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1,021,955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232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Convertible Preferred Stock</w:t>
            </w:r>
          </w:p>
        </w:tc>
        <w:tc>
          <w:tcPr>
            <w:tcW w:w="200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Comprehensiv</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2320" w:type="dxa"/>
            <w:vAlign w:val="bottom"/>
            <w:gridSpan w:val="5"/>
            <w:vMerge w:val="continue"/>
          </w:tcPr>
          <w:p>
            <w:pPr>
              <w:spacing w:after="0"/>
              <w:rPr>
                <w:sz w:val="16"/>
                <w:szCs w:val="16"/>
                <w:color w:val="auto"/>
              </w:rPr>
            </w:pPr>
          </w:p>
        </w:tc>
        <w:tc>
          <w:tcPr>
            <w:tcW w:w="20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e</w:t>
            </w:r>
          </w:p>
        </w:tc>
        <w:tc>
          <w:tcPr>
            <w:tcW w:w="12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Accumulated</w:t>
            </w:r>
          </w:p>
        </w:tc>
        <w:tc>
          <w:tcPr>
            <w:tcW w:w="1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Income</w:t>
            </w:r>
          </w:p>
        </w:tc>
        <w:tc>
          <w:tcPr>
            <w:tcW w:w="160" w:type="dxa"/>
            <w:vAlign w:val="bottom"/>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as of December 31,</w:t>
            </w:r>
          </w:p>
        </w:tc>
        <w:tc>
          <w:tcPr>
            <w:tcW w:w="94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2020</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194,474</w:t>
            </w:r>
          </w:p>
        </w:tc>
        <w:tc>
          <w:tcPr>
            <w:tcW w:w="18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jc w:val="right"/>
              <w:ind w:right="18"/>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1,010,968</w:t>
            </w:r>
          </w:p>
        </w:tc>
        <w:tc>
          <w:tcPr>
            <w:tcW w:w="240" w:type="dxa"/>
            <w:vAlign w:val="bottom"/>
            <w:tcBorders>
              <w:right w:val="single" w:sz="8" w:color="auto"/>
            </w:tcBorders>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15,570</w:t>
            </w:r>
          </w:p>
        </w:tc>
        <w:tc>
          <w:tcPr>
            <w:tcW w:w="280" w:type="dxa"/>
            <w:vAlign w:val="bottom"/>
            <w:gridSpan w:val="2"/>
            <w:shd w:val="clear" w:color="auto" w:fill="CFF0FC"/>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41,357</w:t>
            </w:r>
          </w:p>
        </w:tc>
        <w:tc>
          <w:tcPr>
            <w:tcW w:w="3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(334,143 )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(292,528 )</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20"/>
              <w:spacing w:after="0"/>
              <w:rPr>
                <w:sz w:val="20"/>
                <w:szCs w:val="20"/>
                <w:color w:val="auto"/>
              </w:rPr>
            </w:pPr>
            <w:r>
              <w:rPr>
                <w:rFonts w:ascii="Arial" w:cs="Arial" w:eastAsia="Arial" w:hAnsi="Arial"/>
                <w:sz w:val="14"/>
                <w:szCs w:val="14"/>
                <w:color w:val="auto"/>
              </w:rPr>
              <w:t>Proceeds from initial public</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4"/>
                <w:szCs w:val="14"/>
                <w:color w:val="auto"/>
              </w:rPr>
              <w:t>offering,</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140"/>
              <w:spacing w:after="0"/>
              <w:rPr>
                <w:sz w:val="20"/>
                <w:szCs w:val="20"/>
                <w:color w:val="auto"/>
              </w:rPr>
            </w:pPr>
            <w:r>
              <w:rPr>
                <w:rFonts w:ascii="Arial" w:cs="Arial" w:eastAsia="Arial" w:hAnsi="Arial"/>
                <w:sz w:val="14"/>
                <w:szCs w:val="14"/>
                <w:color w:val="auto"/>
              </w:rPr>
              <w:t>net of $33,159 in issuance</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20"/>
              <w:spacing w:after="0"/>
              <w:rPr>
                <w:sz w:val="20"/>
                <w:szCs w:val="20"/>
                <w:color w:val="auto"/>
              </w:rPr>
            </w:pPr>
            <w:r>
              <w:rPr>
                <w:rFonts w:ascii="Arial" w:cs="Arial" w:eastAsia="Arial" w:hAnsi="Arial"/>
                <w:sz w:val="14"/>
                <w:szCs w:val="14"/>
                <w:color w:val="auto"/>
              </w:rPr>
              <w:t>costs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391,839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391,841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Conversion of convertible</w:t>
            </w:r>
          </w:p>
        </w:tc>
        <w:tc>
          <w:tcPr>
            <w:tcW w:w="94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tcBorders>
              <w:lef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preferred</w:t>
            </w:r>
          </w:p>
        </w:tc>
        <w:tc>
          <w:tcPr>
            <w:tcW w:w="940" w:type="dxa"/>
            <w:vAlign w:val="bottom"/>
            <w:tcBorders>
              <w:right w:val="single" w:sz="8" w:color="CFF0FC"/>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92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8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2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stock to common stock</w:t>
            </w: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(194,474 )</w:t>
            </w:r>
          </w:p>
        </w:tc>
        <w:tc>
          <w:tcPr>
            <w:tcW w:w="140" w:type="dxa"/>
            <w:vAlign w:val="bottom"/>
            <w:shd w:val="clear" w:color="auto" w:fill="CFF0FC"/>
          </w:tcPr>
          <w:p>
            <w:pPr>
              <w:spacing w:after="0"/>
              <w:rPr>
                <w:sz w:val="16"/>
                <w:szCs w:val="16"/>
                <w:color w:val="auto"/>
              </w:rPr>
            </w:pPr>
          </w:p>
        </w:tc>
        <w:tc>
          <w:tcPr>
            <w:tcW w:w="10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(1,010,968 )</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194,474</w:t>
            </w: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1,010,948</w:t>
            </w:r>
          </w:p>
        </w:tc>
        <w:tc>
          <w:tcPr>
            <w:tcW w:w="10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1,010,968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4"/>
                <w:szCs w:val="14"/>
                <w:color w:val="auto"/>
              </w:rPr>
              <w:t>upon</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2,994</w:t>
            </w: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40" w:type="dxa"/>
            <w:vAlign w:val="bottom"/>
            <w:tcBorders>
              <w:left w:val="single" w:sz="8" w:color="CFF0FC"/>
            </w:tcBorders>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27,981</w:t>
            </w:r>
          </w:p>
        </w:tc>
        <w:tc>
          <w:tcPr>
            <w:tcW w:w="10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27,981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(183 )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(183 )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220" w:type="dxa"/>
            <w:vAlign w:val="bottom"/>
            <w:tcBorders>
              <w:left w:val="single" w:sz="8" w:color="CFF0FC"/>
            </w:tcBorders>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(117,638 )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(117,638 )</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Borders>
              <w:right w:val="single" w:sz="8" w:color="auto"/>
            </w:tcBorders>
            <w:shd w:val="clear" w:color="auto" w:fill="CFF0FC"/>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Pr>
          <w:p>
            <w:pPr>
              <w:ind w:left="20"/>
              <w:spacing w:after="0"/>
              <w:rPr>
                <w:sz w:val="20"/>
                <w:szCs w:val="20"/>
                <w:color w:val="auto"/>
              </w:rPr>
            </w:pPr>
            <w:r>
              <w:rPr>
                <w:rFonts w:ascii="Arial" w:cs="Arial" w:eastAsia="Arial" w:hAnsi="Arial"/>
                <w:sz w:val="14"/>
                <w:szCs w:val="14"/>
                <w:color w:val="auto"/>
              </w:rPr>
              <w:t>Balance as of June 30, 2021</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0" w:type="dxa"/>
            <w:vAlign w:val="bottom"/>
          </w:tcPr>
          <w:p>
            <w:pPr>
              <w:jc w:val="right"/>
              <w:ind w:right="18"/>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238,549</w:t>
            </w:r>
          </w:p>
        </w:tc>
        <w:tc>
          <w:tcPr>
            <w:tcW w:w="160" w:type="dxa"/>
            <w:vAlign w:val="bottom"/>
          </w:tcPr>
          <w:p>
            <w:pPr>
              <w:spacing w:after="0"/>
              <w:rPr>
                <w:sz w:val="17"/>
                <w:szCs w:val="17"/>
                <w:color w:val="auto"/>
              </w:rPr>
            </w:pPr>
          </w:p>
        </w:tc>
        <w:tc>
          <w:tcPr>
            <w:tcW w:w="120" w:type="dxa"/>
            <w:vAlign w:val="bottom"/>
          </w:tcPr>
          <w:p>
            <w:pPr>
              <w:jc w:val="right"/>
              <w:ind w:right="31"/>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1,473,639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(451,781 )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1,021,955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2760980</wp:posOffset>
            </wp:positionH>
            <wp:positionV relativeFrom="paragraph">
              <wp:posOffset>-5078095</wp:posOffset>
            </wp:positionV>
            <wp:extent cx="34290" cy="402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025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-3005455</wp:posOffset>
            </wp:positionV>
            <wp:extent cx="12001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-3149600</wp:posOffset>
            </wp:positionV>
            <wp:extent cx="4474845" cy="316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74845" cy="316865"/>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-2454910</wp:posOffset>
            </wp:positionV>
            <wp:extent cx="34290" cy="513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51371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-159385</wp:posOffset>
            </wp:positionV>
            <wp:extent cx="12001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-303530</wp:posOffset>
            </wp:positionV>
            <wp:extent cx="4509135" cy="316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09135" cy="31686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Lyell Immunopharma,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(Deficit) Equity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7"/>
                <w:szCs w:val="17"/>
                <w:color w:val="auto"/>
              </w:rPr>
            </w:pPr>
          </w:p>
        </w:tc>
        <w:tc>
          <w:tcPr>
            <w:tcW w:w="860" w:type="dxa"/>
            <w:vAlign w:val="bottom"/>
          </w:tcPr>
          <w:p>
            <w:pPr>
              <w:jc w:val="center"/>
              <w:ind w:right="128"/>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8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Convertible Preferred Stock</w:t>
            </w:r>
          </w:p>
        </w:tc>
        <w:tc>
          <w:tcPr>
            <w:tcW w:w="220" w:type="dxa"/>
            <w:vAlign w:val="bottom"/>
            <w:vMerge w:val="restart"/>
          </w:tcPr>
          <w:p>
            <w:pPr>
              <w:spacing w:after="0"/>
              <w:rPr>
                <w:sz w:val="16"/>
                <w:szCs w:val="16"/>
                <w:color w:val="auto"/>
              </w:rPr>
            </w:pPr>
          </w:p>
        </w:tc>
        <w:tc>
          <w:tcPr>
            <w:tcW w:w="186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Comprehensiv</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6"/>
                <w:szCs w:val="16"/>
                <w:color w:val="auto"/>
              </w:rPr>
            </w:pPr>
          </w:p>
        </w:tc>
        <w:tc>
          <w:tcPr>
            <w:tcW w:w="860" w:type="dxa"/>
            <w:vAlign w:val="bottom"/>
          </w:tcPr>
          <w:p>
            <w:pPr>
              <w:jc w:val="center"/>
              <w:ind w:right="108"/>
              <w:spacing w:after="0"/>
              <w:rPr>
                <w:sz w:val="20"/>
                <w:szCs w:val="20"/>
                <w:color w:val="auto"/>
              </w:rPr>
            </w:pPr>
            <w:r>
              <w:rPr>
                <w:rFonts w:ascii="Arial" w:cs="Arial" w:eastAsia="Arial" w:hAnsi="Arial"/>
                <w:sz w:val="14"/>
                <w:szCs w:val="14"/>
                <w:b w:val="1"/>
                <w:bCs w:val="1"/>
                <w:color w:val="auto"/>
              </w:rPr>
              <w:t>e</w:t>
            </w:r>
          </w:p>
        </w:tc>
        <w:tc>
          <w:tcPr>
            <w:tcW w:w="160" w:type="dxa"/>
            <w:vAlign w:val="bottom"/>
          </w:tcPr>
          <w:p>
            <w:pPr>
              <w:spacing w:after="0"/>
              <w:rPr>
                <w:sz w:val="16"/>
                <w:szCs w:val="16"/>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March 31, 2020</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194,474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1,010,970</w:t>
            </w:r>
          </w:p>
        </w:tc>
        <w:tc>
          <w:tcPr>
            <w:tcW w:w="220" w:type="dxa"/>
            <w:vAlign w:val="bottom"/>
            <w:tcBorders>
              <w:right w:val="single" w:sz="8" w:color="auto"/>
            </w:tcBorders>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10,713</w:t>
            </w: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6,998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1,086</w:t>
            </w:r>
          </w:p>
        </w:tc>
        <w:tc>
          <w:tcPr>
            <w:tcW w:w="3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(158,911 )</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(150,826 )</w:t>
            </w:r>
          </w:p>
        </w:tc>
        <w:tc>
          <w:tcPr>
            <w:tcW w:w="0" w:type="dxa"/>
            <w:vAlign w:val="bottom"/>
          </w:tcPr>
          <w:p>
            <w:pPr>
              <w:spacing w:after="0"/>
              <w:rPr>
                <w:sz w:val="1"/>
                <w:szCs w:val="1"/>
                <w:color w:val="auto"/>
              </w:rPr>
            </w:pP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Issuance costs of Series C</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140"/>
              <w:spacing w:after="0"/>
              <w:rPr>
                <w:sz w:val="20"/>
                <w:szCs w:val="20"/>
                <w:color w:val="auto"/>
              </w:rPr>
            </w:pPr>
            <w:r>
              <w:rPr>
                <w:rFonts w:ascii="Arial" w:cs="Arial" w:eastAsia="Arial" w:hAnsi="Arial"/>
                <w:sz w:val="14"/>
                <w:szCs w:val="14"/>
                <w:color w:val="auto"/>
              </w:rPr>
              <w:t>convertible preferred stock</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(2 )</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for</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w:t>
            </w: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acquisition</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688</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1,696</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7,268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(100,656 )</w:t>
            </w:r>
          </w:p>
        </w:tc>
        <w:tc>
          <w:tcPr>
            <w:tcW w:w="20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(100,656 )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June 30, 2020</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194,474</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1,010,968</w:t>
            </w:r>
          </w:p>
        </w:tc>
        <w:tc>
          <w:tcPr>
            <w:tcW w:w="220" w:type="dxa"/>
            <w:vAlign w:val="bottom"/>
            <w:tcBorders>
              <w:right w:val="single" w:sz="8" w:color="CFF0FC"/>
            </w:tcBorders>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13,097</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18,266</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1,191</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(259,567 )</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(240,109 )</w:t>
            </w:r>
          </w:p>
        </w:tc>
        <w:tc>
          <w:tcPr>
            <w:tcW w:w="0" w:type="dxa"/>
            <w:vAlign w:val="bottom"/>
          </w:tcPr>
          <w:p>
            <w:pPr>
              <w:spacing w:after="0"/>
              <w:rPr>
                <w:sz w:val="1"/>
                <w:szCs w:val="1"/>
                <w:color w:val="auto"/>
              </w:rPr>
            </w:pPr>
          </w:p>
        </w:tc>
      </w:tr>
      <w:tr>
        <w:trPr>
          <w:trHeight w:val="400"/>
        </w:trPr>
        <w:tc>
          <w:tcPr>
            <w:tcW w:w="210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7"/>
                <w:szCs w:val="17"/>
                <w:color w:val="auto"/>
              </w:rPr>
            </w:pPr>
          </w:p>
        </w:tc>
        <w:tc>
          <w:tcPr>
            <w:tcW w:w="860" w:type="dxa"/>
            <w:vAlign w:val="bottom"/>
          </w:tcPr>
          <w:p>
            <w:pPr>
              <w:jc w:val="center"/>
              <w:ind w:right="128"/>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208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Convertible Preferred Stock</w:t>
            </w:r>
          </w:p>
        </w:tc>
        <w:tc>
          <w:tcPr>
            <w:tcW w:w="220" w:type="dxa"/>
            <w:vAlign w:val="bottom"/>
            <w:vMerge w:val="restart"/>
          </w:tcPr>
          <w:p>
            <w:pPr>
              <w:spacing w:after="0"/>
              <w:rPr>
                <w:sz w:val="16"/>
                <w:szCs w:val="16"/>
                <w:color w:val="auto"/>
              </w:rPr>
            </w:pPr>
          </w:p>
        </w:tc>
        <w:tc>
          <w:tcPr>
            <w:tcW w:w="186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Comprehensiv</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6"/>
                <w:szCs w:val="16"/>
                <w:color w:val="auto"/>
              </w:rPr>
            </w:pPr>
          </w:p>
        </w:tc>
        <w:tc>
          <w:tcPr>
            <w:tcW w:w="860" w:type="dxa"/>
            <w:vAlign w:val="bottom"/>
          </w:tcPr>
          <w:p>
            <w:pPr>
              <w:jc w:val="center"/>
              <w:ind w:right="108"/>
              <w:spacing w:after="0"/>
              <w:rPr>
                <w:sz w:val="20"/>
                <w:szCs w:val="20"/>
                <w:color w:val="auto"/>
              </w:rPr>
            </w:pPr>
            <w:r>
              <w:rPr>
                <w:rFonts w:ascii="Arial" w:cs="Arial" w:eastAsia="Arial" w:hAnsi="Arial"/>
                <w:sz w:val="14"/>
                <w:szCs w:val="14"/>
                <w:b w:val="1"/>
                <w:bCs w:val="1"/>
                <w:color w:val="auto"/>
              </w:rPr>
              <w:t>e</w:t>
            </w:r>
          </w:p>
        </w:tc>
        <w:tc>
          <w:tcPr>
            <w:tcW w:w="160" w:type="dxa"/>
            <w:vAlign w:val="bottom"/>
          </w:tcPr>
          <w:p>
            <w:pPr>
              <w:spacing w:after="0"/>
              <w:rPr>
                <w:sz w:val="16"/>
                <w:szCs w:val="16"/>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860" w:type="dxa"/>
            <w:vAlign w:val="bottom"/>
          </w:tcPr>
          <w:p>
            <w:pPr>
              <w:jc w:val="center"/>
              <w:ind w:right="128"/>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0"/>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December 31,</w:t>
            </w:r>
          </w:p>
        </w:tc>
        <w:tc>
          <w:tcPr>
            <w:tcW w:w="94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2019</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152,116</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519,163</w:t>
            </w:r>
          </w:p>
        </w:tc>
        <w:tc>
          <w:tcPr>
            <w:tcW w:w="220" w:type="dxa"/>
            <w:vAlign w:val="bottom"/>
            <w:tcBorders>
              <w:right w:val="single" w:sz="8" w:color="auto"/>
            </w:tcBorders>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11,181</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18,108</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w:t>
            </w:r>
          </w:p>
        </w:tc>
        <w:tc>
          <w:tcPr>
            <w:tcW w:w="3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(129,671 )</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(111,108 )</w:t>
            </w:r>
          </w:p>
        </w:tc>
        <w:tc>
          <w:tcPr>
            <w:tcW w:w="0" w:type="dxa"/>
            <w:vAlign w:val="bottom"/>
          </w:tcPr>
          <w:p>
            <w:pPr>
              <w:spacing w:after="0"/>
              <w:rPr>
                <w:sz w:val="1"/>
                <w:szCs w:val="1"/>
                <w:color w:val="auto"/>
              </w:rPr>
            </w:pPr>
          </w:p>
        </w:tc>
      </w:tr>
      <w:tr>
        <w:trPr>
          <w:trHeight w:val="191"/>
        </w:trPr>
        <w:tc>
          <w:tcPr>
            <w:tcW w:w="2100" w:type="dxa"/>
            <w:vAlign w:val="bottom"/>
          </w:tcPr>
          <w:p>
            <w:pPr>
              <w:ind w:left="20"/>
              <w:spacing w:after="0"/>
              <w:rPr>
                <w:sz w:val="20"/>
                <w:szCs w:val="20"/>
                <w:color w:val="auto"/>
              </w:rPr>
            </w:pPr>
            <w:r>
              <w:rPr>
                <w:rFonts w:ascii="Arial" w:cs="Arial" w:eastAsia="Arial" w:hAnsi="Arial"/>
                <w:sz w:val="14"/>
                <w:szCs w:val="14"/>
                <w:color w:val="auto"/>
              </w:rPr>
              <w:t>Issuance of Series C</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00" w:type="dxa"/>
            <w:vAlign w:val="bottom"/>
          </w:tcPr>
          <w:p>
            <w:pPr>
              <w:ind w:left="20"/>
              <w:spacing w:after="0"/>
              <w:rPr>
                <w:sz w:val="20"/>
                <w:szCs w:val="20"/>
                <w:color w:val="auto"/>
              </w:rPr>
            </w:pPr>
            <w:r>
              <w:rPr>
                <w:rFonts w:ascii="Arial" w:cs="Arial" w:eastAsia="Arial" w:hAnsi="Arial"/>
                <w:sz w:val="14"/>
                <w:szCs w:val="14"/>
                <w:color w:val="auto"/>
              </w:rPr>
              <w:t>convertible</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ind w:left="140"/>
              <w:spacing w:after="0"/>
              <w:rPr>
                <w:sz w:val="20"/>
                <w:szCs w:val="20"/>
                <w:color w:val="auto"/>
              </w:rPr>
            </w:pPr>
            <w:r>
              <w:rPr>
                <w:rFonts w:ascii="Arial" w:cs="Arial" w:eastAsia="Arial" w:hAnsi="Arial"/>
                <w:sz w:val="14"/>
                <w:szCs w:val="14"/>
                <w:color w:val="auto"/>
              </w:rPr>
              <w:t>preferred stock, net of $533</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140"/>
              <w:spacing w:after="0"/>
              <w:rPr>
                <w:sz w:val="20"/>
                <w:szCs w:val="20"/>
                <w:color w:val="auto"/>
              </w:rPr>
            </w:pPr>
            <w:r>
              <w:rPr>
                <w:rFonts w:ascii="Arial" w:cs="Arial" w:eastAsia="Arial" w:hAnsi="Arial"/>
                <w:sz w:val="14"/>
                <w:szCs w:val="14"/>
                <w:color w:val="auto"/>
              </w:rPr>
              <w:t>in issuance costs</w:t>
            </w:r>
          </w:p>
        </w:tc>
        <w:tc>
          <w:tcPr>
            <w:tcW w:w="940" w:type="dxa"/>
            <w:vAlign w:val="bottom"/>
          </w:tcPr>
          <w:p>
            <w:pPr>
              <w:jc w:val="right"/>
              <w:spacing w:after="0"/>
              <w:rPr>
                <w:sz w:val="20"/>
                <w:szCs w:val="20"/>
                <w:color w:val="auto"/>
              </w:rPr>
            </w:pPr>
            <w:r>
              <w:rPr>
                <w:rFonts w:ascii="Arial" w:cs="Arial" w:eastAsia="Arial" w:hAnsi="Arial"/>
                <w:sz w:val="14"/>
                <w:szCs w:val="14"/>
                <w:color w:val="auto"/>
              </w:rPr>
              <w:t>42,905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492,467</w:t>
            </w:r>
          </w:p>
        </w:tc>
        <w:tc>
          <w:tcPr>
            <w:tcW w:w="220" w:type="dxa"/>
            <w:vAlign w:val="bottom"/>
            <w:tcBorders>
              <w:right w:val="single" w:sz="8" w:color="auto"/>
            </w:tcBorders>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to</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strategic partners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1,004</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Issuance of common stock for</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140"/>
              <w:spacing w:after="0"/>
              <w:rPr>
                <w:sz w:val="20"/>
                <w:szCs w:val="20"/>
                <w:color w:val="auto"/>
              </w:rPr>
            </w:pPr>
            <w:r>
              <w:rPr>
                <w:rFonts w:ascii="Arial" w:cs="Arial" w:eastAsia="Arial" w:hAnsi="Arial"/>
                <w:sz w:val="14"/>
                <w:szCs w:val="14"/>
                <w:color w:val="auto"/>
              </w:rPr>
              <w:t>asset acquisition</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688</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 of convertible</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preferred stock</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(547 )</w:t>
            </w:r>
          </w:p>
        </w:tc>
        <w:tc>
          <w:tcPr>
            <w:tcW w:w="140" w:type="dxa"/>
            <w:vAlign w:val="bottom"/>
            <w:shd w:val="clear" w:color="auto" w:fill="CFF0FC"/>
          </w:tcPr>
          <w:p>
            <w:pPr>
              <w:spacing w:after="0"/>
              <w:rPr>
                <w:sz w:val="16"/>
                <w:szCs w:val="16"/>
                <w:color w:val="auto"/>
              </w:rPr>
            </w:pPr>
          </w:p>
        </w:tc>
        <w:tc>
          <w:tcPr>
            <w:tcW w:w="10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(662 )</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(3,582 )</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(3,582 )</w:t>
            </w:r>
          </w:p>
        </w:tc>
        <w:tc>
          <w:tcPr>
            <w:tcW w:w="0" w:type="dxa"/>
            <w:vAlign w:val="bottom"/>
          </w:tcPr>
          <w:p>
            <w:pPr>
              <w:spacing w:after="0"/>
              <w:rPr>
                <w:sz w:val="1"/>
                <w:szCs w:val="1"/>
                <w:color w:val="auto"/>
              </w:rPr>
            </w:pPr>
          </w:p>
        </w:tc>
      </w:tr>
      <w:tr>
        <w:trPr>
          <w:trHeight w:val="196"/>
        </w:trPr>
        <w:tc>
          <w:tcPr>
            <w:tcW w:w="210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(2,032 )</w:t>
            </w:r>
          </w:p>
        </w:tc>
        <w:tc>
          <w:tcPr>
            <w:tcW w:w="7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(11,806 )</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(11,806 )</w:t>
            </w:r>
          </w:p>
        </w:tc>
        <w:tc>
          <w:tcPr>
            <w:tcW w:w="0" w:type="dxa"/>
            <w:vAlign w:val="bottom"/>
          </w:tcPr>
          <w:p>
            <w:pPr>
              <w:spacing w:after="0"/>
              <w:rPr>
                <w:sz w:val="1"/>
                <w:szCs w:val="1"/>
                <w:color w:val="auto"/>
              </w:rPr>
            </w:pPr>
          </w:p>
        </w:tc>
      </w:tr>
      <w:tr>
        <w:trPr>
          <w:trHeight w:val="20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2,985</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10,542</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(129,896 )</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(129,896 )</w:t>
            </w:r>
          </w:p>
        </w:tc>
        <w:tc>
          <w:tcPr>
            <w:tcW w:w="0" w:type="dxa"/>
            <w:vAlign w:val="bottom"/>
          </w:tcPr>
          <w:p>
            <w:pPr>
              <w:spacing w:after="0"/>
              <w:rPr>
                <w:sz w:val="1"/>
                <w:szCs w:val="1"/>
                <w:color w:val="auto"/>
              </w:rPr>
            </w:pPr>
          </w:p>
        </w:tc>
      </w:tr>
      <w:tr>
        <w:trPr>
          <w:trHeight w:val="20"/>
        </w:trPr>
        <w:tc>
          <w:tcPr>
            <w:tcW w:w="2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Pr>
          <w:p>
            <w:pPr>
              <w:ind w:left="20"/>
              <w:spacing w:after="0"/>
              <w:rPr>
                <w:sz w:val="20"/>
                <w:szCs w:val="20"/>
                <w:color w:val="auto"/>
              </w:rPr>
            </w:pPr>
            <w:r>
              <w:rPr>
                <w:rFonts w:ascii="Arial" w:cs="Arial" w:eastAsia="Arial" w:hAnsi="Arial"/>
                <w:sz w:val="14"/>
                <w:szCs w:val="14"/>
                <w:color w:val="auto"/>
              </w:rPr>
              <w:t>Balance as of June 30, 2020</w:t>
            </w:r>
          </w:p>
        </w:tc>
        <w:tc>
          <w:tcPr>
            <w:tcW w:w="940" w:type="dxa"/>
            <w:vAlign w:val="bottom"/>
          </w:tcPr>
          <w:p>
            <w:pPr>
              <w:jc w:val="right"/>
              <w:spacing w:after="0"/>
              <w:rPr>
                <w:sz w:val="20"/>
                <w:szCs w:val="20"/>
                <w:color w:val="auto"/>
              </w:rPr>
            </w:pPr>
            <w:r>
              <w:rPr>
                <w:rFonts w:ascii="Arial" w:cs="Arial" w:eastAsia="Arial" w:hAnsi="Arial"/>
                <w:sz w:val="14"/>
                <w:szCs w:val="14"/>
                <w:color w:val="auto"/>
              </w:rPr>
              <w:t>194,474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1,010,968</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13,097</w:t>
            </w:r>
          </w:p>
        </w:tc>
        <w:tc>
          <w:tcPr>
            <w:tcW w:w="160" w:type="dxa"/>
            <w:vAlign w:val="bottom"/>
          </w:tcPr>
          <w:p>
            <w:pPr>
              <w:spacing w:after="0"/>
              <w:rPr>
                <w:sz w:val="17"/>
                <w:szCs w:val="17"/>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18,266</w:t>
            </w:r>
          </w:p>
        </w:tc>
        <w:tc>
          <w:tcPr>
            <w:tcW w:w="16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1,191</w:t>
            </w:r>
          </w:p>
        </w:tc>
        <w:tc>
          <w:tcPr>
            <w:tcW w:w="16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(259,567 )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(240,109 )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-4538345</wp:posOffset>
            </wp:positionV>
            <wp:extent cx="33655" cy="402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025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-2905125</wp:posOffset>
            </wp:positionV>
            <wp:extent cx="120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-2888615</wp:posOffset>
            </wp:positionV>
            <wp:extent cx="120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-3183890</wp:posOffset>
            </wp:positionV>
            <wp:extent cx="123825" cy="316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825" cy="31686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-2905125</wp:posOffset>
            </wp:positionV>
            <wp:extent cx="1028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-2888615</wp:posOffset>
            </wp:positionV>
            <wp:extent cx="1028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-2905125</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-2888615</wp:posOffset>
            </wp:positionV>
            <wp:extent cx="102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-2905125</wp:posOffset>
            </wp:positionV>
            <wp:extent cx="1028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-2888615</wp:posOffset>
            </wp:positionV>
            <wp:extent cx="1028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-2905125</wp:posOffset>
            </wp:positionV>
            <wp:extent cx="1028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-2888615</wp:posOffset>
            </wp:positionV>
            <wp:extent cx="102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-2905125</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-2888615</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-2888615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2743835</wp:posOffset>
            </wp:positionH>
            <wp:positionV relativeFrom="paragraph">
              <wp:posOffset>-2489200</wp:posOffset>
            </wp:positionV>
            <wp:extent cx="33655" cy="402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025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-159385</wp:posOffset>
            </wp:positionV>
            <wp:extent cx="12001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-303530</wp:posOffset>
            </wp:positionV>
            <wp:extent cx="4483100" cy="316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483100" cy="31686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Lyell Immunopharma,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(117,638 )</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(129,896 )</w:t>
            </w: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4,968</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27,981</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0"/>
              <w:spacing w:after="0"/>
              <w:rPr>
                <w:sz w:val="20"/>
                <w:szCs w:val="20"/>
                <w:color w:val="auto"/>
              </w:rPr>
            </w:pPr>
            <w:r>
              <w:rPr>
                <w:rFonts w:ascii="Arial" w:cs="Arial" w:eastAsia="Arial" w:hAnsi="Arial"/>
                <w:sz w:val="14"/>
                <w:szCs w:val="14"/>
                <w:color w:val="auto"/>
              </w:rPr>
              <w:t>Change in fair value of success payment liabilities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19,233</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 in fair value of warrants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(1,323 )</w:t>
            </w:r>
          </w:p>
        </w:tc>
        <w:tc>
          <w:tcPr>
            <w:tcW w:w="0" w:type="dxa"/>
            <w:vAlign w:val="bottom"/>
          </w:tcPr>
          <w:p>
            <w:pPr>
              <w:spacing w:after="0"/>
              <w:rPr>
                <w:sz w:val="1"/>
                <w:szCs w:val="1"/>
                <w:color w:val="auto"/>
              </w:rPr>
            </w:pPr>
          </w:p>
        </w:tc>
      </w:tr>
      <w:tr>
        <w:trPr>
          <w:trHeight w:val="197"/>
        </w:trPr>
        <w:tc>
          <w:tcPr>
            <w:tcW w:w="7700" w:type="dxa"/>
            <w:vAlign w:val="bottom"/>
          </w:tcPr>
          <w:p>
            <w:pPr>
              <w:ind w:left="200"/>
              <w:spacing w:after="0"/>
              <w:rPr>
                <w:sz w:val="20"/>
                <w:szCs w:val="20"/>
                <w:color w:val="auto"/>
              </w:rPr>
            </w:pPr>
            <w:r>
              <w:rPr>
                <w:rFonts w:ascii="Arial" w:cs="Arial" w:eastAsia="Arial" w:hAnsi="Arial"/>
                <w:sz w:val="14"/>
                <w:szCs w:val="14"/>
                <w:color w:val="auto"/>
              </w:rPr>
              <w:t>Non-cash lease expense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1,891</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Non-cash expense in connection with asset acquisition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0"/>
              <w:spacing w:after="0"/>
              <w:rPr>
                <w:sz w:val="20"/>
                <w:szCs w:val="20"/>
                <w:color w:val="auto"/>
              </w:rPr>
            </w:pPr>
            <w:r>
              <w:rPr>
                <w:rFonts w:ascii="Arial" w:cs="Arial" w:eastAsia="Arial" w:hAnsi="Arial"/>
                <w:sz w:val="14"/>
                <w:szCs w:val="14"/>
                <w:color w:val="auto"/>
              </w:rPr>
              <w:t>Net amortization or accretion on marketable securities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882</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(118 )</w:t>
            </w: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 and other assets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(4,942 )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(1,483 )</w:t>
            </w:r>
          </w:p>
        </w:tc>
        <w:tc>
          <w:tcPr>
            <w:tcW w:w="0" w:type="dxa"/>
            <w:vAlign w:val="bottom"/>
          </w:tcPr>
          <w:p>
            <w:pPr>
              <w:spacing w:after="0"/>
              <w:rPr>
                <w:sz w:val="1"/>
                <w:szCs w:val="1"/>
                <w:color w:val="auto"/>
              </w:rPr>
            </w:pPr>
          </w:p>
        </w:tc>
      </w:tr>
      <w:tr>
        <w:trPr>
          <w:trHeight w:val="197"/>
        </w:trPr>
        <w:tc>
          <w:tcPr>
            <w:tcW w:w="770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(323 )</w:t>
            </w: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liabilities and other liabilities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(5,057 )</w:t>
            </w:r>
          </w:p>
        </w:tc>
        <w:tc>
          <w:tcPr>
            <w:tcW w:w="36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(4,373 )</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operating activities</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(67,544 )</w:t>
            </w: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(112,514 )</w:t>
            </w:r>
          </w:p>
        </w:tc>
        <w:tc>
          <w:tcPr>
            <w:tcW w:w="0" w:type="dxa"/>
            <w:vAlign w:val="bottom"/>
          </w:tcPr>
          <w:p>
            <w:pPr>
              <w:spacing w:after="0"/>
              <w:rPr>
                <w:sz w:val="1"/>
                <w:szCs w:val="1"/>
                <w:color w:val="auto"/>
              </w:rPr>
            </w:pPr>
          </w:p>
        </w:tc>
      </w:tr>
      <w:tr>
        <w:trPr>
          <w:trHeight w:val="190"/>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(43,637 )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(13,959 )</w:t>
            </w:r>
          </w:p>
        </w:tc>
        <w:tc>
          <w:tcPr>
            <w:tcW w:w="0" w:type="dxa"/>
            <w:vAlign w:val="bottom"/>
          </w:tcPr>
          <w:p>
            <w:pPr>
              <w:spacing w:after="0"/>
              <w:rPr>
                <w:sz w:val="1"/>
                <w:szCs w:val="1"/>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Sales of property and equipment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marketable securities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(264,230 )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(473,087 )</w:t>
            </w:r>
          </w:p>
        </w:tc>
        <w:tc>
          <w:tcPr>
            <w:tcW w:w="0" w:type="dxa"/>
            <w:vAlign w:val="bottom"/>
          </w:tcPr>
          <w:p>
            <w:pPr>
              <w:spacing w:after="0"/>
              <w:rPr>
                <w:sz w:val="1"/>
                <w:szCs w:val="1"/>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Sales and maturities of marketable securities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405,030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307,535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other investments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(36,447 )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97,203</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(215,958 )</w:t>
            </w: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4"/>
                <w:szCs w:val="14"/>
                <w:color w:val="auto"/>
              </w:rPr>
              <w:t>Proceeds from initial public offering, net of issuance costs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392,862</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issuance of convertible preferred stock, net of issuance costs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492,467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1,514</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Payments for the repurchase of common stock</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(11,806 )</w:t>
            </w: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rPr>
                <w:sz w:val="20"/>
                <w:szCs w:val="20"/>
                <w:color w:val="auto"/>
              </w:rPr>
            </w:pPr>
            <w:r>
              <w:rPr>
                <w:rFonts w:ascii="Arial" w:cs="Arial" w:eastAsia="Arial" w:hAnsi="Arial"/>
                <w:sz w:val="14"/>
                <w:szCs w:val="14"/>
                <w:color w:val="auto"/>
              </w:rPr>
              <w:t>Payments for the repurchase of preferred stock</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(4,244 )</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394,376</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476,417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0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424,035</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147,945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140,872</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98,472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564,907</w:t>
            </w:r>
          </w:p>
        </w:tc>
        <w:tc>
          <w:tcPr>
            <w:tcW w:w="3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Represented by:</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564,441</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245,951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Restricted cash</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466</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564,907</w:t>
            </w:r>
          </w:p>
        </w:tc>
        <w:tc>
          <w:tcPr>
            <w:tcW w:w="3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00" w:type="dxa"/>
            <w:vAlign w:val="bottom"/>
          </w:tcPr>
          <w:p>
            <w:pPr>
              <w:ind w:left="20"/>
              <w:spacing w:after="0"/>
              <w:rPr>
                <w:sz w:val="20"/>
                <w:szCs w:val="20"/>
                <w:color w:val="auto"/>
              </w:rPr>
            </w:pPr>
            <w:r>
              <w:rPr>
                <w:rFonts w:ascii="Arial" w:cs="Arial" w:eastAsia="Arial" w:hAnsi="Arial"/>
                <w:sz w:val="14"/>
                <w:szCs w:val="14"/>
                <w:color w:val="auto"/>
              </w:rPr>
              <w:t>Conversion of convertible preferred stock to common stock upon closing of</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1,010,968</w:t>
            </w:r>
          </w:p>
        </w:tc>
        <w:tc>
          <w:tcPr>
            <w:tcW w:w="30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00" w:type="dxa"/>
            <w:vAlign w:val="bottom"/>
          </w:tcPr>
          <w:p>
            <w:pPr>
              <w:ind w:left="140"/>
              <w:spacing w:after="0" w:line="147" w:lineRule="exact"/>
              <w:rPr>
                <w:sz w:val="20"/>
                <w:szCs w:val="20"/>
                <w:color w:val="auto"/>
              </w:rPr>
            </w:pPr>
            <w:r>
              <w:rPr>
                <w:rFonts w:ascii="Arial" w:cs="Arial" w:eastAsia="Arial" w:hAnsi="Arial"/>
                <w:sz w:val="14"/>
                <w:szCs w:val="14"/>
                <w:color w:val="auto"/>
              </w:rPr>
              <w:t>initial public offering</w:t>
            </w:r>
          </w:p>
        </w:tc>
        <w:tc>
          <w:tcPr>
            <w:tcW w:w="36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Purchases of property and equipment included in accounts payable and accrued liabilities</w:t>
            </w: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6,579</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rPr>
                <w:sz w:val="20"/>
                <w:szCs w:val="20"/>
                <w:color w:val="auto"/>
              </w:rPr>
            </w:pPr>
            <w:r>
              <w:rPr>
                <w:rFonts w:ascii="Arial" w:cs="Arial" w:eastAsia="Arial" w:hAnsi="Arial"/>
                <w:sz w:val="14"/>
                <w:szCs w:val="14"/>
                <w:color w:val="auto"/>
              </w:rPr>
              <w:t>Operating lease right-of-use assets obtained in exchange for lease obligations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Remeasurement of operating lease right of use asset for lease modification</w:t>
            </w: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4,306</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rPr>
                <w:sz w:val="20"/>
                <w:szCs w:val="20"/>
                <w:color w:val="auto"/>
              </w:rPr>
            </w:pPr>
            <w:r>
              <w:rPr>
                <w:rFonts w:ascii="Arial" w:cs="Arial" w:eastAsia="Arial" w:hAnsi="Arial"/>
                <w:sz w:val="14"/>
                <w:szCs w:val="14"/>
                <w:color w:val="auto"/>
              </w:rPr>
              <w:t>Cash received for amounts related to tenant improvement allowances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5,400</w:t>
            </w:r>
          </w:p>
        </w:tc>
        <w:tc>
          <w:tcPr>
            <w:tcW w:w="3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2,899</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rPr>
                <w:sz w:val="20"/>
                <w:szCs w:val="20"/>
                <w:color w:val="auto"/>
              </w:rPr>
            </w:pPr>
            <w:r>
              <w:rPr>
                <w:rFonts w:ascii="Arial" w:cs="Arial" w:eastAsia="Arial" w:hAnsi="Arial"/>
                <w:sz w:val="14"/>
                <w:szCs w:val="14"/>
                <w:color w:val="auto"/>
              </w:rPr>
              <w:t>Deferred offering costs included in accounts payable and accrued liabilities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w:t>
            </w:r>
          </w:p>
        </w:tc>
        <w:tc>
          <w:tcPr>
            <w:tcW w:w="3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-4102735</wp:posOffset>
            </wp:positionV>
            <wp:extent cx="18859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-4102735</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-3322320</wp:posOffset>
            </wp:positionV>
            <wp:extent cx="18859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-3322320</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-2268220</wp:posOffset>
            </wp:positionV>
            <wp:extent cx="18859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-2268220</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-2002155</wp:posOffset>
            </wp:positionV>
            <wp:extent cx="18859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-2002155</wp:posOffset>
            </wp:positionV>
            <wp:extent cx="685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-1453515</wp:posOffset>
            </wp:positionV>
            <wp:extent cx="18859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-1453515</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1885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-779780</wp:posOffset>
            </wp:positionV>
            <wp:extent cx="1885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-487680</wp:posOffset>
            </wp:positionV>
            <wp:extent cx="1885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-470535</wp:posOffset>
            </wp:positionV>
            <wp:extent cx="1885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-179705</wp:posOffset>
            </wp:positionV>
            <wp:extent cx="1885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-161925</wp:posOffset>
            </wp:positionV>
            <wp:extent cx="1885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231F20"/>
        </w:rPr>
        <w:t>Lyell Immunopharma,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6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Lyell Immunopharma, Inc. (the “Company”) was incorporated in Delaware in June 2018. The Company is a T cell reprogramming company dedicated to the mastery of T cells to eradicate solid tumors. The Company is building a multi-modality product pipeline. The Company’s primary activities since incorporation have been to develop T cell therapies, perform research and development, acquire technology, enter into strategic collaboration and license arrangements, enable manufacturing activities in support of its product candidate development efforts, organize and staff the Company, business plan, establish its intellectual property portfolio, raise capital and provide general and administrative support for these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June 2021, the Company successfully completed its initial public offering (“IPO”) of its common stock. In connection with its IPO, the Company issued and sold 25,000,000 shares of common stock at an IPO price of $17.00 per share. The Company received $391.8 million in net proceeds, after deducting underwriting discounts and commissions of $29.8 million and offering expenses of $3.4 million. Upon the closing of the IPO, 194,474,431 shares of convertible preferred stock then outstanding converted into an equivalent number of shares of common stock. The related carrying value of the converted preferred stock of $1,011.0 million was reclassified to common stock and additional paid in-capital.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6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(“GAAP”). The condensed consolidated financial statements include the accounts of Lyell Immunopharma, Inc. and its wholly-owned subsidiaries. All significant intercompany transactions and balances are eliminated in consolidation.</w:t>
      </w:r>
    </w:p>
    <w:p>
      <w:pPr>
        <w:spacing w:after="0" w:line="20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condensed consolidated balance sheet as of December 31, 2020 included herein was derived from the audited consolidated financial statements as of that date. Certain information and footnote disclosure typically included in the Company's audited consolidated financial statements have been condensed or omitted. The accompanying unaudited condensed consolidated financial statements have been prepared on the same basis as the annual consolidated financial statements and reflect, in the opinion of management, all adjustments of a normal and recurring nature that are necessary for the fair presentation of the Company’s financial position, results of operations and cash flows for the periods presented, but are not necessarily indicative of results to be expected for any future annual or interim period.</w:t>
      </w:r>
    </w:p>
    <w:p>
      <w:pPr>
        <w:spacing w:after="0" w:line="20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These condensed consolidated financial statements should be read in conjunction with the Company's audited financial statements and notes included in the prospectus the Company filed with the Securities and Exchange Commission on June 21, 2021 pursuant to Rule 424(b)</w:t>
      </w:r>
    </w:p>
    <w:p>
      <w:pPr>
        <w:spacing w:after="0"/>
        <w:rPr>
          <w:sz w:val="20"/>
          <w:szCs w:val="20"/>
          <w:color w:val="auto"/>
        </w:rPr>
      </w:pPr>
      <w:r>
        <w:rPr>
          <w:rFonts w:ascii="Arial" w:cs="Arial" w:eastAsia="Arial" w:hAnsi="Arial"/>
          <w:sz w:val="18"/>
          <w:szCs w:val="18"/>
          <w:color w:val="auto"/>
        </w:rPr>
        <w:t>(4) under the Securities Act of 1933, as amended (the "Prospectus").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6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preparation of the Company’s condensed consolidated financial statements in conformity with GAAP requires management to make judgments, estimates and assumptions that affect reported amounts and related disclosures. Specific accounts that require management estimates include, but are not limited to, stock-based compensation, valuation of success payments, revenue recognition and accrued expenses.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26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Company maintains its cash and cash equivalents and restricted cash with high quality, accredited financial institutions. These amounts, at times, may exceed federally insured limits. The Company also makes short-term</w:t>
      </w: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10" w:name="page11"/>
    <w:bookmarkEnd w:id="10"/>
    <w:p>
      <w:pPr>
        <w:ind w:right="220"/>
        <w:spacing w:after="0" w:line="268" w:lineRule="auto"/>
        <w:rPr>
          <w:sz w:val="20"/>
          <w:szCs w:val="20"/>
          <w:color w:val="auto"/>
        </w:rPr>
      </w:pPr>
      <w:r>
        <w:rPr>
          <w:rFonts w:ascii="Arial" w:cs="Arial" w:eastAsia="Arial" w:hAnsi="Arial"/>
          <w:sz w:val="18"/>
          <w:szCs w:val="18"/>
          <w:color w:val="auto"/>
        </w:rPr>
        <w:t>investments in money market funds, U.S. Treasury securities, U.S. government agency securities, corporate bonds and commercial paper, which can be subject to certain credit risk. However, the Company mitigates the risks by investing in high-grade instruments, limiting exposure to any one issuer or type of investment and monitoring the ongoing creditworthiness of the financial institutions and issuers. The Company has not experienced any credit losses in such accounts and does not believe it is exposed to significant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61"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color w:val="auto"/>
        </w:rPr>
        <w:t>There have been no significant changes to the accounting policies during the six months ended June 30, 2021, as compared to the significant accounting policies described in Note 2 of the “Notes to Financial Statements” in the Company’s audited financial statements included in the Prospectus, with the exception of revenue recognition related to licenses of intellectual property during the three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1"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The Company recognizes revenue when its customer obtains control of promised goods or services, in an amount that reflects the consideration which the Company expects to receive in exchange for those goods or services. To determine revenue recognition for arrangements within the scope of ASC 606, Revenue from Contracts with Customers, ("ASC 606") the Company performs the following five steps: (i) identify the contract(s) with a customer; (ii) identify the performance obligations in the contract; (iii) determine the transaction price;</w:t>
      </w:r>
    </w:p>
    <w:p>
      <w:pPr>
        <w:spacing w:after="0" w:line="3" w:lineRule="exact"/>
        <w:rPr>
          <w:sz w:val="20"/>
          <w:szCs w:val="20"/>
          <w:color w:val="auto"/>
        </w:rPr>
      </w:pPr>
    </w:p>
    <w:p>
      <w:pPr>
        <w:ind w:firstLine="8"/>
        <w:spacing w:after="0" w:line="266"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(v) recognize revenue when (or as) the performance obligation is satisfied. In applying the ASC 606 framework, the Company must apply judgment to determine the nature of the promises within a revenue contract and whether those promises represent distinct performance obligations. In determining the transaction price, the Company does not include amounts subject to uncertainties unless it is probable that there will be no significant reversal of cumulative revenue when the uncertainty is resolved. Milestone and other forms of variable consideration that the Company may earn are subject to significant uncertainties of research and development related achievements, which generally are deemed to be not probable until such milestones are actually achieved. For arrangements that include sales-based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Additionally, the Company develops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for which it recognizes revenue as or when the performance obligations are satisfied. At the end of each subsequent reporting period, the Company re-evaluates the variable consideration and any related constraint and, if necessary, adjusts its estimate of the overall transaction price. Any such adjustments are recorded on a cumulative catch-up basis.</w:t>
      </w:r>
    </w:p>
    <w:p>
      <w:pPr>
        <w:spacing w:after="0" w:line="2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Under the Company’s license agreements, the Company grants the license to a customer as it exists at the point of transfer and the nature of the license is a right to use the Company’s intellectual property as transferred. If the license to the Company’s intellectual property is determined to be distinct from the other performance obligations identified in the arrangement, the Company recognizes revenue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License and Success Payment Agreements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Fred Hutch</w:t>
      </w:r>
    </w:p>
    <w:p>
      <w:pPr>
        <w:spacing w:after="0" w:line="369"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In 2018, the Company entered into a license agreement with Fred Hutchinson Cancer Research Center (“Fred Hutch”) pertaining to certain patent rights. In 2018, the Company also entered into a research and collaboration agreement (“Fred Hutch Collaboration Agreement”), focused on research and development of cancer immunotherapy products and the Company recognized $1.0 million of research and development expenses in connection with the Fred Hutch Collaboration Agreement for both the three months ended June 30, 2021 and 2020, respectively, and $2.0 million for both the six months ended June 30, 2021 and 2020, respectively.</w:t>
      </w: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 2018, the Company also granted Fred Hutch rights to certain success payments. The potential payments for the Fred Hutch success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payments are based on multiples of increased value ranging from 10x to 50x based on a comparison of the estimated per share fair value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Series A convertible preferred stock, or any security into which such stock has been converted or for which it has been exchanged,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relative to its original $1.83 issuance price. Upon the closing of the IPO, all shares of Series A convertible preferred stock then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converted into an equivalent number of shares of common stock. The aggregate success payments to Fred Hutch are not to exceed $200.0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million, which would only occur upon a 50 times increase in value. Each threshold is associated with a success payment, ascending from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million at $18.29 per share to $200.0 million at $91.44 per share, payable if such threshold is reached during the measurement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Any previous success payments made are credited against the success payment owed as of any valuation date, such that Fred Hutch does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receive multiple success payments in connection with the same threshold. The term of the success payment agreement ends 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earlier to occur of (i) the nine year anniversary of the date of the agreement and (ii) a change in control transaction.</w:t>
      </w:r>
    </w:p>
    <w:p>
      <w:pPr>
        <w:spacing w:after="0" w:line="3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the aggregate potential success payments, which are payable to Fred Hutch in cash or cash equivalents or, at the Company’s discretion, publicly-tradeable shares of the Company’s common stock:</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Multiple of initial equity value at issuance</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10x</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20x</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30x</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40x</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50x</w:t>
            </w:r>
          </w:p>
        </w:tc>
        <w:tc>
          <w:tcPr>
            <w:tcW w:w="100" w:type="dxa"/>
            <w:vAlign w:val="bottom"/>
          </w:tcPr>
          <w:p>
            <w:pPr>
              <w:spacing w:after="0"/>
              <w:rPr>
                <w:sz w:val="20"/>
                <w:szCs w:val="20"/>
                <w:color w:val="auto"/>
              </w:rPr>
            </w:pPr>
          </w:p>
        </w:tc>
      </w:tr>
      <w:tr>
        <w:trPr>
          <w:trHeight w:val="250"/>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 share common stock price required for payment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w:t>
            </w:r>
          </w:p>
        </w:tc>
        <w:tc>
          <w:tcPr>
            <w:tcW w:w="100" w:type="dxa"/>
            <w:vAlign w:val="bottom"/>
            <w:shd w:val="clear" w:color="auto" w:fill="CFF0FC"/>
          </w:tcPr>
          <w:p>
            <w:pPr>
              <w:spacing w:after="0"/>
              <w:rPr>
                <w:sz w:val="21"/>
                <w:szCs w:val="2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Aggregate success payment(s) (in millions)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success payments will be owed if the per share fair value of the Company's common stock on the contractually specified valuation measurement dates during the term of the success payment agreement equals or exceeds the above outlined multiples. The valuation measurement dates are triggered by the following events: the one-year anniversary of the Company's IPO and each two-year anniversary of the Company's IPO thereafter, the closing of a change in control transaction, and the last day of the term of the success payment agreement, unless the term has ended due to the closing of a change of control transaction.</w:t>
      </w:r>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estimated fair value of the success payments to Fred Hutch as of June 30, 2021 and December 31, 2020 was $24.9 million and $8.0 million, respectively. The success payment liability is estimated at fair value at inception and at each subsequent reporting period and the expense is accreted over the service period of the Fred Hutch Collaboration Agreement. With respect to Fred Hutch success payment obligations, the Company recognized expense of $6.9 million and $0.5 million for the three months ended June 30, 2021 and 2020, respectively, and $15.0 million and $2.6 million for the six months ended June 30, 2021 and 2020, respectively. Expense associated with success payment obligations was recorded in research and development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Stanford</w:t>
      </w:r>
    </w:p>
    <w:p>
      <w:pPr>
        <w:spacing w:after="0" w:line="36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2019, the Company entered into a license agreement with The Board of Trustees of the Leland Stanford Junior University (“Stanford”) pertaining to certain patent rights. In October 2020, the Company entered into a research and collaboration agreement with Stanford (“Stanford Collaboration Agreement”), focused on research and development of cellular immunotherapy products and the Company recognized $0.8 million of research and development expenses in connection with the Stanford Collaboration Agreement for the three months ended June 30, 2021 and $1.5 million for the six months ended June 30, 2021. As the Stanford Collaboration Agreement was entered into in October 2020, no expense was recognized for the three and six months ended June 30, 2020.</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the Company also granted Stanford rights to certain success payments. The potential payments for the Stanford success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payments are based on multiples of increased value ranging from 10x to 50x based on a comparison of the estimated per share fair value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Series A convertible preferred stock, or any security into which such stock has been converted or for which it has been exchanged,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relative to its original $1.83 issuance price. At the closing of the IPO, all shares of Series A convertible preferred stock then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converted into an equivalent number of shares of common stock. The aggregate success payments to Stanford are not to exceed $200.0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million, which would only occur upon a 50 times increase in value. Each threshold is associated with a success payment, ascending from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million at $18.29 per share to $200.0 million at $91.44 per share, payable if such threshold is reached during the measurement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Any previous success payments made are credited against the success payment owed as of any valuation date, so that Stanford does not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receive multiple success payments in connection with the same threshold. The term of each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2" w:name="page13"/>
    <w:bookmarkEnd w:id="12"/>
    <w:p>
      <w:pPr>
        <w:ind w:right="340"/>
        <w:spacing w:after="0" w:line="277" w:lineRule="auto"/>
        <w:rPr>
          <w:sz w:val="20"/>
          <w:szCs w:val="20"/>
          <w:color w:val="auto"/>
        </w:rPr>
      </w:pPr>
      <w:r>
        <w:rPr>
          <w:rFonts w:ascii="Arial" w:cs="Arial" w:eastAsia="Arial" w:hAnsi="Arial"/>
          <w:sz w:val="18"/>
          <w:szCs w:val="18"/>
          <w:color w:val="auto"/>
        </w:rPr>
        <w:t>success payment agreement ends on the earlier to occur of (i) the nine year anniversary of the date of the agreement and (ii) a change in control transaction.</w:t>
      </w: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the aggregate potential success payments, which are payable to Stanford in cash or cash equivalents or, at the Company’s discretion, publicly-tradeable shares of the Company’s common stock:</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Multiple of initial equity value at issuance</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10x</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20x</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30x</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40x</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50x</w:t>
            </w:r>
          </w:p>
        </w:tc>
        <w:tc>
          <w:tcPr>
            <w:tcW w:w="100" w:type="dxa"/>
            <w:vAlign w:val="bottom"/>
          </w:tcPr>
          <w:p>
            <w:pPr>
              <w:spacing w:after="0"/>
              <w:rPr>
                <w:sz w:val="20"/>
                <w:szCs w:val="20"/>
                <w:color w:val="auto"/>
              </w:rPr>
            </w:pPr>
          </w:p>
        </w:tc>
      </w:tr>
      <w:tr>
        <w:trPr>
          <w:trHeight w:val="250"/>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 share common stock price required for payment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w:t>
            </w:r>
          </w:p>
        </w:tc>
        <w:tc>
          <w:tcPr>
            <w:tcW w:w="100" w:type="dxa"/>
            <w:vAlign w:val="bottom"/>
            <w:shd w:val="clear" w:color="auto" w:fill="CFF0FC"/>
          </w:tcPr>
          <w:p>
            <w:pPr>
              <w:spacing w:after="0"/>
              <w:rPr>
                <w:sz w:val="21"/>
                <w:szCs w:val="2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Aggregate success payment(s) (in millions)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success payments will be owed if the per share fair value of the Company's common stock on the contractually specified valuation measurement dates during the term of the success payment agreement equals or exceeds the above outlined multiples. The valuation measurement dates are triggered by the following events: the one-year anniversary of the Company's IPO and each two-year anniversary of the Company's IPO thereafter, the closing of a change in control transaction, and the last day of the term of the success payment agreement, unless the term has ended due to the closing of a change of control transaction.</w:t>
      </w:r>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estimated fair value of the success payments to Stanford as of June 30, 2021 and December 31, 2020 was $25.8 million and $8.9 million, respectively. The success payment liability is estimated at fair value at inception and at each subsequent reporting period and the expense is accreted over the service period of the Stanford Collaboration Agreement. With respect to Stanford success payment obligations, the Company recognized expense of $2.4 million for the three months ended June 30, 2021 and $4.3 million for the six months ended June 30, 2021, which was recorded in research and development expense. As the rights to success payments were granted to Stanford in October 2020, no expense was recognized for the three and six months ended June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GSK</w:t>
      </w:r>
    </w:p>
    <w:p>
      <w:pPr>
        <w:spacing w:after="0" w:line="369"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In 2019, the Company entered into a Collaboration and License Agreement, amended in June 2020 (“GSK Agreement”) with GlaxoSmithKline Intellectual Property (No. 5) Limited and Glaxo Group Limited (together, “GSK”) for potential T cell therapies that apply the Company’s platform technologies and cell therapy innovations with T cell receptors (“TCRs”) or chimeric antigen receptors (“CARs”) under distinct collaboration programs. The GSK Agreement has defined two initial collaboration targets and allows GSK to nominate seven additional targets through July 2024. The Company is expected to perform research and development services for each selected target up until a defined point (the “GSK Option Point”), at which time GSK will decide whether or not to exercise an option to obtain a license from the Company (“License Option”) and take over the future development and commercialization. For each selected target, both parties will determine whether it will be developed under a Proof of Concept (“PoC”) Development Program or Component Development Program. For a PoC Development Program, the Company is expected to conduct both preclinical and clinical development for the target and present clinical trial data to GSK in connection with their evaluation of whether to exercise the License Option. For a Component Development Program, the Company is obligated to perform preclinical studies only. Along with the research activities, the Company appoints three representatives to the joint steering committee (“JSC”) and is responsible for the manufacture of all compounds and products necessary for its research and development activities.</w:t>
      </w:r>
    </w:p>
    <w:p>
      <w:pPr>
        <w:spacing w:after="0" w:line="31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Company received a non-refundable upfront payment of $45.0 million under the GSK Agreement. The Company is entitled to certain payments upon the achievement of specified development and sales milestones (for each selected target that is already within GSK’s pipeline and meets certain criteria, the Company is eligible to receive up to an aggregate of approximately $400.0 million, and for each selected target that is not already within GSK’s pipeline and meet certain criteria the Company is eligible to receive up to an aggregate of approximately $900.0 million) and tiered royalties on a per-product basis ranging from low to high single digits for targets that are already within GSK’s pipeline and meet certain criteria, or from high single digit to low teens for all other targets. The Company is also entitled to potential milestone payments based on validating the Company’s technology in a clinical setting up to an aggregate of approximately $200.0 million. Royalties and milestones are paid once per target, even if there is more than one Lyell innovation applied to a T cell therapy directed to that target. Any amounts received from GSK are generally non-refundable unless the Company terminates a collaboration target for safety or feasibility reasons and the funding received from GSK exceeds the costs incurred for the terminated target.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3" w:name="page14"/>
    <w:bookmarkEnd w:id="13"/>
    <w:p>
      <w:pPr>
        <w:ind w:right="60"/>
        <w:spacing w:after="0" w:line="268" w:lineRule="auto"/>
        <w:rPr>
          <w:sz w:val="20"/>
          <w:szCs w:val="20"/>
          <w:color w:val="auto"/>
        </w:rPr>
      </w:pPr>
      <w:r>
        <w:rPr>
          <w:rFonts w:ascii="Arial" w:cs="Arial" w:eastAsia="Arial" w:hAnsi="Arial"/>
          <w:sz w:val="18"/>
          <w:szCs w:val="18"/>
          <w:color w:val="auto"/>
        </w:rPr>
        <w:t>In connection with the GSK Agreement, in May 2019, the Company also entered into a Stock Purchase Agreement with GSK (the “GSK Stock Purchase Agreement”), pursuant to which the Company agreed to sell 30,253,189 shares of Series AA convertible preferred stock at a price of $6.78 per share. As of the issuance date, the estimated fair value of the Series AA convertible preferred stock was $4.84 per share, compared with the purchase price per share of $6.78. The difference of $58.6 million between the estimated fair value of the stock as of the issuance date and the purchase price was deemed to be additional consideration for the GSK Agreement. As a result, the total upfront payment for accounting purposes allocated to the GSK Agreement was $103.6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3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GSK Agreement was deemed to be within the scope of ASC 606 because GSK engaged the Company to initially provide research and development services, which are outputs of its ongoing activities, in exchange for consideration.</w:t>
      </w:r>
    </w:p>
    <w:p>
      <w:pPr>
        <w:spacing w:after="0" w:line="305"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The Company identified the following two distinct performance obligations: (i) research and development services related to the two initial collaboration targets, inclusive of the JSC participation and the manufacture of compounds necessary for providing the research and development services and (ii) a material right for GSK to nominate seven additional collaboration targets for which the Company will perform research and development services until the GSK Option Point.</w:t>
      </w:r>
    </w:p>
    <w:p>
      <w:pPr>
        <w:spacing w:after="0" w:line="314"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To allocate revenue among the performance obligations, the Company determined standalone selling prices (“SSP”) of each obligation. For the research and development services, the SSP was calculated using a cost-plus margin approach. For the material right, the SSP was calculated by reference to the underlying research and development services expected to be provided and the corresponding expected consideration. All amounts included in the transaction price are allocated to performance obligations proportionate to their SSPs.</w:t>
      </w:r>
    </w:p>
    <w:p>
      <w:pPr>
        <w:spacing w:after="0" w:line="31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As of June 30, 2021, the transaction price was deemed to be $103.6 million, consisting of the upfront payment of $45.0 million under the GSK Agreement and the $58.6 million allocated from the GSK Stock Purchase Agreement. Other than the upfront payment and the amounts allocated from the GSK Stock Purchase Agreement, all other contingent consideration that may be earned under the GSK Agreement is subject to uncertainties including but not limited to target addition, research and investigational new drug enabling studies, initiation of clinical trials, and other related achievements. Consequently, the transaction price currently does not include any such contingent consideration that, if included, could result in a probable significant reversal of cumulative revenue when related uncertainties become resolved. The Company will re-evaluate the transaction price at each reporting period. If and when contingent consideration is included in the transaction price, it will be allocated to the two performance obligations proportionate to their SSPs and a cumulative catch up in revenue will be recorded for the portion of the services already completed. The remaining amounts will be deferred and recognized as the services are rendered.</w:t>
      </w:r>
    </w:p>
    <w:p>
      <w:pPr>
        <w:spacing w:after="0" w:line="31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research and development services are transferred as the services are performed, with cost used as the measure of progress compared to total estimated cost to complete. Incurred cost represents work performed, which corresponds with, and thereby best depicts, the transfer of control to the customer. The determination of the percentage of completion requires the Company to estimate the costs to complete the project. The Company makes a detailed estimate of the costs to complete, which is reassessed every reporting period based on the latest project plan and discussions with project teams. If a change in facts or circumstances occurs, the estimate will be adjusted, and the revenue will be recognized based on the revised estimate. The difference between the cumulative revenue recognized based on the previous estimate and the revenue recognized based on the revised estimate would be recognized as an adjustment to revenue in the period in which the change in estimate occurs.</w:t>
      </w:r>
    </w:p>
    <w:p>
      <w:pPr>
        <w:spacing w:after="0" w:line="31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 recognized revenue related to the research and development services for the two initial targets of $2.6 million and $3.1 million for the three months ended June 30, 2021 and 2020, respectively, and $5.1 million and $4.4 million for the six months ended June 30, 2021 and 2020, respectively. Changes in deferred revenue during the six months ended June 30, 2021 were as follows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balance at December 31, 2020</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95,161</w:t>
            </w:r>
          </w:p>
        </w:tc>
        <w:tc>
          <w:tcPr>
            <w:tcW w:w="100" w:type="dxa"/>
            <w:vAlign w:val="bottom"/>
            <w:shd w:val="clear" w:color="auto" w:fill="CFF0FC"/>
          </w:tcPr>
          <w:p>
            <w:pPr>
              <w:spacing w:after="0"/>
              <w:rPr>
                <w:sz w:val="22"/>
                <w:szCs w:val="22"/>
                <w:color w:val="auto"/>
              </w:rPr>
            </w:pPr>
          </w:p>
        </w:tc>
      </w:tr>
      <w:tr>
        <w:trPr>
          <w:trHeight w:val="250"/>
        </w:trPr>
        <w:tc>
          <w:tcPr>
            <w:tcW w:w="9640" w:type="dxa"/>
            <w:vAlign w:val="bottom"/>
          </w:tcPr>
          <w:p>
            <w:pPr>
              <w:ind w:left="140"/>
              <w:spacing w:after="0"/>
              <w:rPr>
                <w:sz w:val="20"/>
                <w:szCs w:val="20"/>
                <w:color w:val="auto"/>
              </w:rPr>
            </w:pPr>
            <w:r>
              <w:rPr>
                <w:rFonts w:ascii="Arial" w:cs="Arial" w:eastAsia="Arial" w:hAnsi="Arial"/>
                <w:sz w:val="18"/>
                <w:szCs w:val="18"/>
                <w:color w:val="auto"/>
              </w:rPr>
              <w:t>Revenue recognized during the period previously recorded in deferred revenue</w:t>
            </w:r>
          </w:p>
        </w:tc>
        <w:tc>
          <w:tcPr>
            <w:tcW w:w="5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(5,057 )</w:t>
            </w:r>
          </w:p>
        </w:tc>
      </w:tr>
      <w:tr>
        <w:trPr>
          <w:trHeight w:val="296"/>
        </w:trPr>
        <w:tc>
          <w:tcPr>
            <w:tcW w:w="9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revenue balance at June 30, 2021</w:t>
            </w: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90,104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39"/>
        </w:trPr>
        <w:tc>
          <w:tcPr>
            <w:tcW w:w="9640" w:type="dxa"/>
            <w:vAlign w:val="bottom"/>
          </w:tcPr>
          <w:p>
            <w:pPr>
              <w:jc w:val="right"/>
              <w:ind w:right="383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96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Exercise of the License Option</w:t>
      </w:r>
    </w:p>
    <w:p>
      <w:pPr>
        <w:spacing w:after="0" w:line="365"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In April 2021, GSK exercised the License Option on NY-ESO-1 TCR with Gen-R, a Component Development Program, and will assume sole responsibility for future development and commercialization of the program at its own cost and expense. The Company is entitled to the remaining development and sales milestones up to an aggregate of approximately $400.0 million as well as the tiered royalties on future sales of all such products covered by the license granted pursuant to the License Option.</w:t>
      </w:r>
    </w:p>
    <w:p>
      <w:pPr>
        <w:spacing w:after="0" w:line="31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exercise of the License Option was accounted for as a separate license contract for revenue recognition purposes. The Company identified one performance obligation, which was the license delivered to GSK upon the exercise of the License Option and transfer of information and data associated with the license. The Company concluded that the development milestone payments are solely dependent on GSK’s performance and achievement of the specified events and are deemed to be not probable until such development milestones are actually achieved. Therefore, the remaining development milestones are fully constrained and excluded from the transaction price until the respective milestone is achieved. The Company also concluded that sales milestones and royalties relate predominantly to the license granted to GSK. Therefore, they also have been excluded from the transaction price and will be recognized when the related sales occur. At the end of each reporting period, the Company will update its assessment of whether an estimate of variable consideration is constrained and update the estimated transaction price accordingly.</w:t>
      </w:r>
    </w:p>
    <w:p>
      <w:pPr>
        <w:spacing w:after="0" w:line="3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June 30, 2021, there were no contract assets or contract liabilities related to the license contract. None of the costs to obtain or fulfill the contract were capitalized. No license revenue was recognized for the three and six months ended June 30,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PACT</w:t>
      </w:r>
    </w:p>
    <w:p>
      <w:pPr>
        <w:spacing w:after="0" w:line="369"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In June 2020, the Company entered into an agreement (the “PACT Agreement”) with PACT Pharma, Inc. (“PACT”) to jointly develop and test a next generation personalized anti-cancer T cell therapy against solid tumors. The Company paid PACT an upfront non-refundable payment of $50.0 million upon execution of the PACT Agreement. In November 2020, the parties agreed to suspend research and development activity under the PACT Agreement, and neither party would be required to conduct any further work under the development plan (including manufacturing development) nor incur any financial obligations (including milestone payments) that might otherwise arise, for as long as the parties continued to negotiate in good faith to resolve the issues that have arisen between them relating to the PACT Agreement.</w:t>
      </w:r>
    </w:p>
    <w:p>
      <w:pPr>
        <w:spacing w:after="0" w:line="2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June 2020 in connection with the entry into the PACT Agreement, the Company also entered into a stock purchase agreement with PACT (“PACT SPA”), pursuant to which the Company purchased 17,806,901 shares of Series C-1 convertible preferred stock at a purchase price of $2.81 per share. As of the purchase date, the estimated fair value of the Series C-1 convertible preferred stock was $2.05 per share, and the difference between the estimated fair value of the preferred stock as of the purchase date and the purchase price of $13.6 million was deemed to be additional consideration for the PACT Agreement and recognized as research and development expense. As a result, the total upfront payment paid in connection with the PACT Agreement was $63.6 million and included in research and development expense. The remaining $36.4 million associated with the PACT Series C-1 convertible preferred stock was recorded in other investments.</w:t>
      </w:r>
    </w:p>
    <w:p>
      <w:pPr>
        <w:spacing w:after="0" w:line="31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February 2021, the Company filed a demand for arbitration seeking, among other things, rescission of the PACT Agreement and the PACT SPA and recovery of the consideration paid thereunder. An arbitration hearing has been scheduled to occur in March 2022.</w:t>
      </w: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4. Cash Equivalents and Marketable Securities</w:t>
      </w:r>
    </w:p>
    <w:p>
      <w:pPr>
        <w:spacing w:after="0" w:line="3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fair value and amortized cost of cash equivalents and marketable securities by major security type as of June 30, 2021 and December 31, 2020 are presented in the following table (in thousands):</w:t>
      </w:r>
    </w:p>
    <w:p>
      <w:pPr>
        <w:sectPr>
          <w:pgSz w:w="11900" w:h="16838" w:orient="portrait"/>
          <w:cols w:equalWidth="0" w:num="1">
            <w:col w:w="11200"/>
          </w:cols>
          <w:pgMar w:left="320" w:top="68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Money market funds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Treasury securities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government agency securities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debt securities</w:t>
      </w:r>
    </w:p>
    <w:p>
      <w:pPr>
        <w:spacing w:after="0" w:line="50" w:lineRule="exact"/>
        <w:rPr>
          <w:sz w:val="20"/>
          <w:szCs w:val="20"/>
          <w:color w:val="auto"/>
        </w:rPr>
      </w:pPr>
    </w:p>
    <w:p>
      <w:pPr>
        <w:ind w:left="420" w:right="160" w:hanging="149"/>
        <w:spacing w:after="0" w:line="277" w:lineRule="auto"/>
        <w:rPr>
          <w:sz w:val="20"/>
          <w:szCs w:val="20"/>
          <w:color w:val="auto"/>
        </w:rPr>
      </w:pPr>
      <w:r>
        <w:rPr>
          <w:rFonts w:ascii="Arial" w:cs="Arial" w:eastAsia="Arial" w:hAnsi="Arial"/>
          <w:sz w:val="18"/>
          <w:szCs w:val="18"/>
          <w:color w:val="auto"/>
        </w:rPr>
        <w:t>Total cash equivalents and marketable securities</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Classified as: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equivalents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marketable securities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marketable securities</w:t>
      </w:r>
    </w:p>
    <w:p>
      <w:pPr>
        <w:spacing w:after="0" w:line="50" w:lineRule="exact"/>
        <w:rPr>
          <w:sz w:val="20"/>
          <w:szCs w:val="20"/>
          <w:color w:val="auto"/>
        </w:rPr>
      </w:pPr>
    </w:p>
    <w:p>
      <w:pPr>
        <w:ind w:left="180" w:right="420" w:hanging="149"/>
        <w:spacing w:after="0" w:line="277" w:lineRule="auto"/>
        <w:rPr>
          <w:sz w:val="20"/>
          <w:szCs w:val="20"/>
          <w:color w:val="auto"/>
        </w:rPr>
      </w:pPr>
      <w:r>
        <w:rPr>
          <w:rFonts w:ascii="Arial" w:cs="Arial" w:eastAsia="Arial" w:hAnsi="Arial"/>
          <w:sz w:val="18"/>
          <w:szCs w:val="18"/>
          <w:color w:val="auto"/>
        </w:rPr>
        <w:t>Total cash equivalents and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Money market funds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Treasury securities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government agency securities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debt securities</w:t>
      </w:r>
    </w:p>
    <w:p>
      <w:pPr>
        <w:spacing w:after="0" w:line="50" w:lineRule="exact"/>
        <w:rPr>
          <w:sz w:val="20"/>
          <w:szCs w:val="20"/>
          <w:color w:val="auto"/>
        </w:rPr>
      </w:pPr>
    </w:p>
    <w:p>
      <w:pPr>
        <w:ind w:left="420" w:right="160" w:hanging="149"/>
        <w:spacing w:after="0" w:line="277" w:lineRule="auto"/>
        <w:rPr>
          <w:sz w:val="20"/>
          <w:szCs w:val="20"/>
          <w:color w:val="auto"/>
        </w:rPr>
      </w:pPr>
      <w:r>
        <w:rPr>
          <w:rFonts w:ascii="Arial" w:cs="Arial" w:eastAsia="Arial" w:hAnsi="Arial"/>
          <w:sz w:val="18"/>
          <w:szCs w:val="18"/>
          <w:color w:val="auto"/>
        </w:rPr>
        <w:t>Total cash equivalents and marketable securities</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Classified as:</w:t>
      </w:r>
    </w:p>
    <w:p>
      <w:pPr>
        <w:spacing w:after="0" w:line="50" w:lineRule="exact"/>
        <w:rPr>
          <w:sz w:val="20"/>
          <w:szCs w:val="20"/>
          <w:color w:val="auto"/>
        </w:rPr>
      </w:pPr>
    </w:p>
    <w:p>
      <w:pPr>
        <w:ind w:left="280" w:right="620"/>
        <w:spacing w:after="0" w:line="305" w:lineRule="auto"/>
        <w:rPr>
          <w:sz w:val="20"/>
          <w:szCs w:val="20"/>
          <w:color w:val="auto"/>
        </w:rPr>
      </w:pPr>
      <w:r>
        <w:rPr>
          <w:rFonts w:ascii="Arial" w:cs="Arial" w:eastAsia="Arial" w:hAnsi="Arial"/>
          <w:sz w:val="18"/>
          <w:szCs w:val="18"/>
          <w:color w:val="auto"/>
        </w:rPr>
        <w:t>Cash equivalents Short-term marketable securities</w:t>
      </w:r>
    </w:p>
    <w:p>
      <w:pPr>
        <w:jc w:val="center"/>
        <w:ind w:right="380"/>
        <w:spacing w:after="0"/>
        <w:rPr>
          <w:sz w:val="20"/>
          <w:szCs w:val="20"/>
          <w:color w:val="auto"/>
        </w:rPr>
      </w:pPr>
      <w:r>
        <w:rPr>
          <w:rFonts w:ascii="Arial" w:cs="Arial" w:eastAsia="Arial" w:hAnsi="Arial"/>
          <w:sz w:val="18"/>
          <w:szCs w:val="18"/>
          <w:color w:val="auto"/>
        </w:rPr>
        <w:t>Long-term marketable securities</w:t>
      </w:r>
    </w:p>
    <w:p>
      <w:pPr>
        <w:spacing w:after="0" w:line="50" w:lineRule="exact"/>
        <w:rPr>
          <w:sz w:val="20"/>
          <w:szCs w:val="20"/>
          <w:color w:val="auto"/>
        </w:rPr>
      </w:pPr>
    </w:p>
    <w:p>
      <w:pPr>
        <w:ind w:left="180" w:right="420" w:hanging="149"/>
        <w:spacing w:after="0" w:line="277" w:lineRule="auto"/>
        <w:rPr>
          <w:sz w:val="20"/>
          <w:szCs w:val="20"/>
          <w:color w:val="auto"/>
        </w:rPr>
      </w:pPr>
      <w:r>
        <w:rPr>
          <w:rFonts w:ascii="Arial" w:cs="Arial" w:eastAsia="Arial" w:hAnsi="Arial"/>
          <w:sz w:val="18"/>
          <w:szCs w:val="18"/>
          <w:color w:val="auto"/>
        </w:rPr>
        <w:t>Total cash equivalents and marketable securities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43891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Gross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Gross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rPr>
              <w:t>Unrealized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6"/>
        </w:trPr>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Amortized Cost</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8"/>
              </w:rPr>
              <w:t>Holding Gains</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Holding Losses</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Fair Value</w:t>
            </w: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512,529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512,529</w:t>
            </w:r>
          </w:p>
        </w:tc>
      </w:tr>
      <w:tr>
        <w:trPr>
          <w:trHeight w:val="257"/>
        </w:trPr>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162,360</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162,381</w:t>
            </w:r>
          </w:p>
        </w:tc>
      </w:tr>
      <w:tr>
        <w:trPr>
          <w:trHeight w:val="257"/>
        </w:trPr>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114,250</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114,303</w:t>
            </w:r>
          </w:p>
        </w:tc>
      </w:tr>
      <w:tr>
        <w:trPr>
          <w:trHeight w:val="263"/>
        </w:trPr>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166,573</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166,572</w:t>
            </w:r>
          </w:p>
        </w:tc>
      </w:tr>
      <w:tr>
        <w:trPr>
          <w:trHeight w:val="20"/>
        </w:trPr>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439"/>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955,712</w:t>
            </w: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955,785</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-967740</wp:posOffset>
            </wp:positionV>
            <wp:extent cx="713232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-642620</wp:posOffset>
            </wp:positionV>
            <wp:extent cx="713232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-307975</wp:posOffset>
            </wp:positionV>
            <wp:extent cx="7132320" cy="308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545,442</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260,082</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150,261</w:t>
            </w: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955,785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gridSpan w:val="5"/>
            <w:vMerge w:val="restart"/>
          </w:tcPr>
          <w:p>
            <w:pPr>
              <w:jc w:val="right"/>
              <w:ind w:right="150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Gross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Gross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rPr>
              <w:t>Unrealized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Amortized Cost</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8"/>
              </w:rPr>
              <w:t>Holding Gains</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Holding Losses</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50,513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50,513</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202,674</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202,701</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205,558</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205,764</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211,086</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211,109</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669,831</w:t>
            </w: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670,087</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117,879</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472,213</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79,995</w:t>
            </w: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670,087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-3676650</wp:posOffset>
            </wp:positionV>
            <wp:extent cx="71323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-3350895</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-2091055</wp:posOffset>
            </wp:positionV>
            <wp:extent cx="7132320"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-1765300</wp:posOffset>
            </wp:positionV>
            <wp:extent cx="713232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-1430655</wp:posOffset>
            </wp:positionV>
            <wp:extent cx="7132320"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-805180</wp:posOffset>
            </wp:positionV>
            <wp:extent cx="713232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-479425</wp:posOffset>
            </wp:positionV>
            <wp:extent cx="71323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3500" w:space="720"/>
            <w:col w:w="6980"/>
          </w:cols>
          <w:pgMar w:left="320" w:top="684" w:right="379" w:bottom="1440" w:gutter="0" w:footer="0" w:header="0"/>
          <w:type w:val="continuous"/>
        </w:sectPr>
      </w:pPr>
    </w:p>
    <w:p>
      <w:pPr>
        <w:spacing w:after="0" w:line="2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 xml:space="preserve">As of June 30, 2021 and December 31, 2020 the fair value of securities held by the Company in an unrealized loss position was $103.3 million and $132.6 million, respectively, and as of June 30, 2021 and December 31, 2020, securities held by the Company in an unrealized loss position have been in the continuous loss position for less than 12 months. The Company determined that there was no material change in the credit risk of the above investments during the three and six months ended June 30, 2021. As such, an allowance for credit losses would not be recognized. As of June 30, 2021, the Company does not intend to sell such securities, and it is not more-likely-than-not that the Company will be required to sell the securities prior to the recovery of the amortized cost basis. Gross realized gains and losses were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for the three and six months ended June 30, 2021 and 2020 and as a result, amounts reclassified out of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comprehensive loss for the three and six months ended June 30, 2021 and 2020 were also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318"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As of June 30, 2021 and December 31, 2020, all of the Company’s marketable securities had a maturity date of two years or less, were available for use and were classified as available-for-sale.</w:t>
      </w: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5. Other Investments</w:t>
      </w:r>
    </w:p>
    <w:p>
      <w:pPr>
        <w:spacing w:after="0" w:line="3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From time to time, the Company makes minority ownership strategic investments. As of both June 30, 2021 and December 31, 2020, the aggregate carrying amounts of the Company’s strategic investments in non-publicly traded companies were $83.4 million. These investments are measured at initial cost, minus impairment, if any, and plus or minus changes resulting from observable price changes in orderly transactions for the identical or a similar investment of the same issuer. There were no adjustments recorded to the carrying amount for other investments for the three and six months ended June 30, 2021 and 2020.</w:t>
      </w:r>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November 2020, the Company made a strategic equity investment of $13.0 million in Outpace Bio, Inc. (“Outpace”), a privately-held company, which represented a minority ownership interest at the time of the strategic investment. Outpace is engaged in the research and development of protein and cell technology platforms and has financed its activities via issuances of preferred stock. The Company determined that Outpace is a variable interest entity (“VIE”) as the at-risk equity holders, as a group, lack the characteristics of a controlling financial interest. The Company does not have majority voting rights, representation on Outpace’s board of directors, or the power to direct the activities of this entity and therefore it is not the primary beneficiary. As of June 30, 2021 and December 31, 2020, the carrying value of the Company’s investment in Outpace is $13.0 million, which is recorded in other investments.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6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8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June 30, 2021</w:t>
            </w: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8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1"/>
                <w:szCs w:val="21"/>
                <w:color w:val="auto"/>
              </w:rPr>
            </w:pPr>
          </w:p>
        </w:tc>
      </w:tr>
      <w:tr>
        <w:trPr>
          <w:trHeight w:val="257"/>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80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512,529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512,529</w:t>
            </w:r>
          </w:p>
        </w:tc>
        <w:tc>
          <w:tcPr>
            <w:tcW w:w="100" w:type="dxa"/>
            <w:vAlign w:val="bottom"/>
          </w:tcPr>
          <w:p>
            <w:pPr>
              <w:spacing w:after="0"/>
              <w:rPr>
                <w:sz w:val="21"/>
                <w:szCs w:val="21"/>
                <w:color w:val="auto"/>
              </w:rPr>
            </w:pPr>
          </w:p>
        </w:tc>
      </w:tr>
      <w:tr>
        <w:trPr>
          <w:trHeight w:val="263"/>
        </w:trPr>
        <w:tc>
          <w:tcPr>
            <w:tcW w:w="5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162,381</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162,381</w:t>
            </w:r>
          </w:p>
        </w:tc>
        <w:tc>
          <w:tcPr>
            <w:tcW w:w="100" w:type="dxa"/>
            <w:vAlign w:val="bottom"/>
            <w:shd w:val="clear" w:color="auto" w:fill="CFF0FC"/>
          </w:tcPr>
          <w:p>
            <w:pPr>
              <w:spacing w:after="0"/>
              <w:rPr>
                <w:sz w:val="22"/>
                <w:szCs w:val="22"/>
                <w:color w:val="auto"/>
              </w:rPr>
            </w:pPr>
          </w:p>
        </w:tc>
      </w:tr>
      <w:tr>
        <w:trPr>
          <w:trHeight w:val="250"/>
        </w:trPr>
        <w:tc>
          <w:tcPr>
            <w:tcW w:w="5800" w:type="dxa"/>
            <w:vAlign w:val="bottom"/>
          </w:tcPr>
          <w:p>
            <w:pPr>
              <w:ind w:left="28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114,303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114,303</w:t>
            </w:r>
          </w:p>
        </w:tc>
        <w:tc>
          <w:tcPr>
            <w:tcW w:w="100" w:type="dxa"/>
            <w:vAlign w:val="bottom"/>
          </w:tcPr>
          <w:p>
            <w:pPr>
              <w:spacing w:after="0"/>
              <w:rPr>
                <w:sz w:val="21"/>
                <w:szCs w:val="21"/>
                <w:color w:val="auto"/>
              </w:rPr>
            </w:pPr>
          </w:p>
        </w:tc>
      </w:tr>
      <w:tr>
        <w:trPr>
          <w:trHeight w:val="263"/>
        </w:trPr>
        <w:tc>
          <w:tcPr>
            <w:tcW w:w="5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166,572</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166,572</w:t>
            </w:r>
          </w:p>
        </w:tc>
        <w:tc>
          <w:tcPr>
            <w:tcW w:w="100" w:type="dxa"/>
            <w:vAlign w:val="bottom"/>
            <w:shd w:val="clear" w:color="auto" w:fill="CFF0FC"/>
          </w:tcPr>
          <w:p>
            <w:pPr>
              <w:spacing w:after="0"/>
              <w:rPr>
                <w:sz w:val="22"/>
                <w:szCs w:val="22"/>
                <w:color w:val="auto"/>
              </w:rPr>
            </w:pPr>
          </w:p>
        </w:tc>
      </w:tr>
      <w:tr>
        <w:trPr>
          <w:trHeight w:val="257"/>
        </w:trPr>
        <w:tc>
          <w:tcPr>
            <w:tcW w:w="5800" w:type="dxa"/>
            <w:vAlign w:val="bottom"/>
          </w:tcPr>
          <w:p>
            <w:pPr>
              <w:ind w:left="280"/>
              <w:spacing w:after="0"/>
              <w:rPr>
                <w:sz w:val="20"/>
                <w:szCs w:val="20"/>
                <w:color w:val="auto"/>
              </w:rPr>
            </w:pPr>
            <w:r>
              <w:rPr>
                <w:rFonts w:ascii="Arial" w:cs="Arial" w:eastAsia="Arial" w:hAnsi="Arial"/>
                <w:sz w:val="18"/>
                <w:szCs w:val="18"/>
                <w:color w:val="auto"/>
              </w:rPr>
              <w:t>Equity warrant investment</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2"/>
                <w:szCs w:val="22"/>
                <w:color w:val="auto"/>
              </w:rPr>
            </w:pPr>
          </w:p>
        </w:tc>
      </w:tr>
      <w:tr>
        <w:trPr>
          <w:trHeight w:val="290"/>
        </w:trPr>
        <w:tc>
          <w:tcPr>
            <w:tcW w:w="58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financial assets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512,529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443,256</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956,951</w:t>
            </w:r>
          </w:p>
        </w:tc>
        <w:tc>
          <w:tcPr>
            <w:tcW w:w="100" w:type="dxa"/>
            <w:vAlign w:val="bottom"/>
            <w:shd w:val="clear" w:color="auto" w:fill="CFF0FC"/>
          </w:tcPr>
          <w:p>
            <w:pPr>
              <w:spacing w:after="0"/>
              <w:rPr>
                <w:sz w:val="24"/>
                <w:szCs w:val="24"/>
                <w:color w:val="auto"/>
              </w:rPr>
            </w:pPr>
          </w:p>
        </w:tc>
      </w:tr>
      <w:tr>
        <w:trPr>
          <w:trHeight w:val="230"/>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63"/>
        </w:trPr>
        <w:tc>
          <w:tcPr>
            <w:tcW w:w="58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Success payment liabilities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25,006</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800" w:type="dxa"/>
            <w:vAlign w:val="bottom"/>
          </w:tcPr>
          <w:p>
            <w:pPr>
              <w:ind w:left="520"/>
              <w:spacing w:after="0"/>
              <w:rPr>
                <w:sz w:val="20"/>
                <w:szCs w:val="20"/>
                <w:color w:val="auto"/>
              </w:rPr>
            </w:pPr>
            <w:r>
              <w:rPr>
                <w:rFonts w:ascii="Arial" w:cs="Arial" w:eastAsia="Arial" w:hAnsi="Arial"/>
                <w:sz w:val="18"/>
                <w:szCs w:val="18"/>
                <w:color w:val="auto"/>
              </w:rPr>
              <w:t>Total financial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25,006</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25,006</w:t>
            </w:r>
          </w:p>
        </w:tc>
        <w:tc>
          <w:tcPr>
            <w:tcW w:w="100" w:type="dxa"/>
            <w:vAlign w:val="bottom"/>
          </w:tcPr>
          <w:p>
            <w:pPr>
              <w:spacing w:after="0"/>
              <w:rPr>
                <w:sz w:val="21"/>
                <w:szCs w:val="21"/>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-548005</wp:posOffset>
            </wp:positionV>
            <wp:extent cx="1625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-530860</wp:posOffset>
            </wp:positionV>
            <wp:extent cx="1625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-548005</wp:posOffset>
            </wp:positionV>
            <wp:extent cx="1625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-530860</wp:posOffset>
            </wp:positionV>
            <wp:extent cx="1625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-548005</wp:posOffset>
            </wp:positionV>
            <wp:extent cx="1631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-530860</wp:posOffset>
            </wp:positionV>
            <wp:extent cx="1631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-193675</wp:posOffset>
            </wp:positionV>
            <wp:extent cx="16256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-193675</wp:posOffset>
            </wp:positionV>
            <wp:extent cx="16256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-193675</wp:posOffset>
            </wp:positionV>
            <wp:extent cx="16319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8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8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1"/>
                <w:szCs w:val="21"/>
                <w:color w:val="auto"/>
              </w:rPr>
            </w:pPr>
          </w:p>
        </w:tc>
      </w:tr>
      <w:tr>
        <w:trPr>
          <w:trHeight w:val="25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80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50,513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50,513</w:t>
            </w:r>
          </w:p>
        </w:tc>
        <w:tc>
          <w:tcPr>
            <w:tcW w:w="100" w:type="dxa"/>
            <w:vAlign w:val="bottom"/>
          </w:tcPr>
          <w:p>
            <w:pPr>
              <w:spacing w:after="0"/>
              <w:rPr>
                <w:sz w:val="21"/>
                <w:szCs w:val="21"/>
                <w:color w:val="auto"/>
              </w:rPr>
            </w:pPr>
          </w:p>
        </w:tc>
      </w:tr>
      <w:tr>
        <w:trPr>
          <w:trHeight w:val="263"/>
        </w:trPr>
        <w:tc>
          <w:tcPr>
            <w:tcW w:w="5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202,701</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202,701</w:t>
            </w:r>
          </w:p>
        </w:tc>
        <w:tc>
          <w:tcPr>
            <w:tcW w:w="100" w:type="dxa"/>
            <w:vAlign w:val="bottom"/>
            <w:shd w:val="clear" w:color="auto" w:fill="CFF0FC"/>
          </w:tcPr>
          <w:p>
            <w:pPr>
              <w:spacing w:after="0"/>
              <w:rPr>
                <w:sz w:val="22"/>
                <w:szCs w:val="22"/>
                <w:color w:val="auto"/>
              </w:rPr>
            </w:pPr>
          </w:p>
        </w:tc>
      </w:tr>
      <w:tr>
        <w:trPr>
          <w:trHeight w:val="250"/>
        </w:trPr>
        <w:tc>
          <w:tcPr>
            <w:tcW w:w="5800" w:type="dxa"/>
            <w:vAlign w:val="bottom"/>
          </w:tcPr>
          <w:p>
            <w:pPr>
              <w:ind w:left="28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205,764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205,764</w:t>
            </w:r>
          </w:p>
        </w:tc>
        <w:tc>
          <w:tcPr>
            <w:tcW w:w="100" w:type="dxa"/>
            <w:vAlign w:val="bottom"/>
          </w:tcPr>
          <w:p>
            <w:pPr>
              <w:spacing w:after="0"/>
              <w:rPr>
                <w:sz w:val="21"/>
                <w:szCs w:val="21"/>
                <w:color w:val="auto"/>
              </w:rPr>
            </w:pPr>
          </w:p>
        </w:tc>
      </w:tr>
      <w:tr>
        <w:trPr>
          <w:trHeight w:val="263"/>
        </w:trPr>
        <w:tc>
          <w:tcPr>
            <w:tcW w:w="5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211,109</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211,109</w:t>
            </w:r>
          </w:p>
        </w:tc>
        <w:tc>
          <w:tcPr>
            <w:tcW w:w="100" w:type="dxa"/>
            <w:vAlign w:val="bottom"/>
            <w:shd w:val="clear" w:color="auto" w:fill="CFF0FC"/>
          </w:tcPr>
          <w:p>
            <w:pPr>
              <w:spacing w:after="0"/>
              <w:rPr>
                <w:sz w:val="22"/>
                <w:szCs w:val="22"/>
                <w:color w:val="auto"/>
              </w:rPr>
            </w:pPr>
          </w:p>
        </w:tc>
      </w:tr>
      <w:tr>
        <w:trPr>
          <w:trHeight w:val="256"/>
        </w:trPr>
        <w:tc>
          <w:tcPr>
            <w:tcW w:w="5800" w:type="dxa"/>
            <w:vAlign w:val="bottom"/>
          </w:tcPr>
          <w:p>
            <w:pPr>
              <w:ind w:left="280"/>
              <w:spacing w:after="0"/>
              <w:rPr>
                <w:sz w:val="20"/>
                <w:szCs w:val="20"/>
                <w:color w:val="auto"/>
              </w:rPr>
            </w:pPr>
            <w:r>
              <w:rPr>
                <w:rFonts w:ascii="Arial" w:cs="Arial" w:eastAsia="Arial" w:hAnsi="Arial"/>
                <w:sz w:val="18"/>
                <w:szCs w:val="18"/>
                <w:color w:val="auto"/>
              </w:rPr>
              <w:t>Equity warrant investment</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2"/>
                <w:szCs w:val="22"/>
                <w:color w:val="auto"/>
              </w:rPr>
            </w:pPr>
          </w:p>
        </w:tc>
      </w:tr>
      <w:tr>
        <w:trPr>
          <w:trHeight w:val="290"/>
        </w:trPr>
        <w:tc>
          <w:tcPr>
            <w:tcW w:w="58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financial assets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50,513</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619,574</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671,410</w:t>
            </w:r>
          </w:p>
        </w:tc>
        <w:tc>
          <w:tcPr>
            <w:tcW w:w="100" w:type="dxa"/>
            <w:vAlign w:val="bottom"/>
            <w:shd w:val="clear" w:color="auto" w:fill="CFF0FC"/>
          </w:tcPr>
          <w:p>
            <w:pPr>
              <w:spacing w:after="0"/>
              <w:rPr>
                <w:sz w:val="24"/>
                <w:szCs w:val="24"/>
                <w:color w:val="auto"/>
              </w:rPr>
            </w:pPr>
          </w:p>
        </w:tc>
      </w:tr>
      <w:tr>
        <w:trPr>
          <w:trHeight w:val="230"/>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63"/>
        </w:trPr>
        <w:tc>
          <w:tcPr>
            <w:tcW w:w="58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Success payment liabilities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5,773</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800" w:type="dxa"/>
            <w:vAlign w:val="bottom"/>
          </w:tcPr>
          <w:p>
            <w:pPr>
              <w:ind w:left="520"/>
              <w:spacing w:after="0"/>
              <w:rPr>
                <w:sz w:val="20"/>
                <w:szCs w:val="20"/>
                <w:color w:val="auto"/>
              </w:rPr>
            </w:pPr>
            <w:r>
              <w:rPr>
                <w:rFonts w:ascii="Arial" w:cs="Arial" w:eastAsia="Arial" w:hAnsi="Arial"/>
                <w:sz w:val="18"/>
                <w:szCs w:val="18"/>
                <w:color w:val="auto"/>
              </w:rPr>
              <w:t>Total financial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5,773</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21"/>
                <w:szCs w:val="21"/>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-548005</wp:posOffset>
            </wp:positionV>
            <wp:extent cx="1625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-530860</wp:posOffset>
            </wp:positionV>
            <wp:extent cx="1625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-548005</wp:posOffset>
            </wp:positionV>
            <wp:extent cx="1625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-530860</wp:posOffset>
            </wp:positionV>
            <wp:extent cx="1625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-548005</wp:posOffset>
            </wp:positionV>
            <wp:extent cx="1631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-530860</wp:posOffset>
            </wp:positionV>
            <wp:extent cx="1631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-193675</wp:posOffset>
            </wp:positionV>
            <wp:extent cx="16256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-193675</wp:posOffset>
            </wp:positionV>
            <wp:extent cx="16256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-193675</wp:posOffset>
            </wp:positionV>
            <wp:extent cx="16319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measures the fair value of money market funds based on quoted prices in active markets for identical assets or liabilities. The Level 2 marketable securities include U.S. Treasury and government agency securities and corporate debt securities. The Company’s Level 2 securities are valued using third-party pricing sources. The pricing services utilize industry standard valuation models. Inputs utilized include market pricing based on real-time trade data for the same or similar securities and other significant inputs derived from or corroborated by observable market data.</w:t>
      </w:r>
    </w:p>
    <w:p>
      <w:pPr>
        <w:spacing w:after="0" w:line="208"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The Level 3 financial instruments include an equity warrant investment and success payment liabilities. The Company’s Level 3 financial instruments are valued using valuation models which include the Black Scholes model for valuing the</w:t>
      </w: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ind w:right="20"/>
        <w:spacing w:after="0" w:line="268" w:lineRule="auto"/>
        <w:rPr>
          <w:sz w:val="20"/>
          <w:szCs w:val="20"/>
          <w:color w:val="auto"/>
        </w:rPr>
      </w:pPr>
      <w:r>
        <w:rPr>
          <w:rFonts w:ascii="Arial" w:cs="Arial" w:eastAsia="Arial" w:hAnsi="Arial"/>
          <w:sz w:val="18"/>
          <w:szCs w:val="18"/>
          <w:color w:val="auto"/>
        </w:rPr>
        <w:t>equity warrant investment and a Monte Carlo simulation for the success payment liabilities. To determine the estimated fair value of the success payments, the Company uses a Monte Carlo simulation methodology which models the future movement of stock prices based on several key variables combined with empirical knowledge of the process governing the behavior of the stock price. The following variables were incorporated in the estimated fair value of the success payment liabilities: fair value of the Company's common stock, expected volatility, risk-free interest rate and the estimated number and timing of valuation measurement dates on the basis of which payments may be triggered. The computation of expected volatility was estimated based on available information about the historical volatility of stocks of similar publicly traded companies for a period matching the expected term assumption.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incorporated into the calculation of the estimated fair value of the Fred Hutch success payment liability: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0"/>
                <w:szCs w:val="20"/>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December 31,</w:t>
            </w:r>
          </w:p>
        </w:tc>
      </w:tr>
      <w:tr>
        <w:trPr>
          <w:trHeight w:val="263"/>
        </w:trPr>
        <w:tc>
          <w:tcPr>
            <w:tcW w:w="69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2"/>
                <w:szCs w:val="22"/>
                <w:color w:val="auto"/>
              </w:rPr>
            </w:pPr>
          </w:p>
        </w:tc>
      </w:tr>
      <w:tr>
        <w:trPr>
          <w:trHeight w:val="257"/>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common stock (Series A convertible preferred stock)</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4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220" w:type="dxa"/>
            <w:vAlign w:val="bottom"/>
            <w:shd w:val="clear" w:color="auto" w:fill="CFF0FC"/>
          </w:tcPr>
          <w:p>
            <w:pPr>
              <w:spacing w:after="0"/>
              <w:rPr>
                <w:sz w:val="22"/>
                <w:szCs w:val="22"/>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0.07% - 2.22%</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0.10% - 1.52%</w:t>
            </w:r>
          </w:p>
        </w:tc>
        <w:tc>
          <w:tcPr>
            <w:tcW w:w="220" w:type="dxa"/>
            <w:vAlign w:val="bottom"/>
          </w:tcPr>
          <w:p>
            <w:pPr>
              <w:spacing w:after="0"/>
              <w:rPr>
                <w:sz w:val="21"/>
                <w:szCs w:val="21"/>
                <w:color w:val="auto"/>
              </w:rPr>
            </w:pPr>
          </w:p>
        </w:tc>
      </w:tr>
      <w:tr>
        <w:trPr>
          <w:trHeight w:val="26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CFF0FC"/>
          </w:tcPr>
          <w:p>
            <w:pPr>
              <w:spacing w:after="0"/>
              <w:rPr>
                <w:sz w:val="22"/>
                <w:szCs w:val="22"/>
                <w:color w:val="auto"/>
              </w:rPr>
            </w:pPr>
          </w:p>
        </w:tc>
        <w:tc>
          <w:tcPr>
            <w:tcW w:w="1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75 %</w:t>
            </w:r>
          </w:p>
        </w:tc>
        <w:tc>
          <w:tcPr>
            <w:tcW w:w="220" w:type="dxa"/>
            <w:vAlign w:val="bottom"/>
            <w:shd w:val="clear" w:color="auto" w:fill="CFF0FC"/>
          </w:tcPr>
          <w:p>
            <w:pPr>
              <w:spacing w:after="0"/>
              <w:rPr>
                <w:sz w:val="22"/>
                <w:szCs w:val="22"/>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80 %</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0.96 - 6.47</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1.00 - 6.97</w:t>
            </w:r>
          </w:p>
        </w:tc>
        <w:tc>
          <w:tcPr>
            <w:tcW w:w="220" w:type="dxa"/>
            <w:vAlign w:val="bottom"/>
          </w:tcPr>
          <w:p>
            <w:pPr>
              <w:spacing w:after="0"/>
              <w:rPr>
                <w:sz w:val="21"/>
                <w:szCs w:val="2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incorporated into the calculation of the estimated fair value of the Stanford success payment liability: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0"/>
                <w:szCs w:val="20"/>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December 31,</w:t>
            </w:r>
          </w:p>
        </w:tc>
      </w:tr>
      <w:tr>
        <w:trPr>
          <w:trHeight w:val="263"/>
        </w:trPr>
        <w:tc>
          <w:tcPr>
            <w:tcW w:w="69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2"/>
                <w:szCs w:val="22"/>
                <w:color w:val="auto"/>
              </w:rPr>
            </w:pPr>
          </w:p>
        </w:tc>
      </w:tr>
      <w:tr>
        <w:trPr>
          <w:trHeight w:val="257"/>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common stock (Series A convertible preferred stock)</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4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220" w:type="dxa"/>
            <w:vAlign w:val="bottom"/>
            <w:shd w:val="clear" w:color="auto" w:fill="CFF0FC"/>
          </w:tcPr>
          <w:p>
            <w:pPr>
              <w:spacing w:after="0"/>
              <w:rPr>
                <w:sz w:val="22"/>
                <w:szCs w:val="22"/>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0.07% - 2.22%</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0.10% - 1.53%</w:t>
            </w:r>
          </w:p>
        </w:tc>
        <w:tc>
          <w:tcPr>
            <w:tcW w:w="220" w:type="dxa"/>
            <w:vAlign w:val="bottom"/>
          </w:tcPr>
          <w:p>
            <w:pPr>
              <w:spacing w:after="0"/>
              <w:rPr>
                <w:sz w:val="21"/>
                <w:szCs w:val="21"/>
                <w:color w:val="auto"/>
              </w:rPr>
            </w:pPr>
          </w:p>
        </w:tc>
      </w:tr>
      <w:tr>
        <w:trPr>
          <w:trHeight w:val="26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CFF0FC"/>
          </w:tcPr>
          <w:p>
            <w:pPr>
              <w:spacing w:after="0"/>
              <w:rPr>
                <w:sz w:val="22"/>
                <w:szCs w:val="22"/>
                <w:color w:val="auto"/>
              </w:rPr>
            </w:pPr>
          </w:p>
        </w:tc>
        <w:tc>
          <w:tcPr>
            <w:tcW w:w="1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75 %</w:t>
            </w:r>
          </w:p>
        </w:tc>
        <w:tc>
          <w:tcPr>
            <w:tcW w:w="240" w:type="dxa"/>
            <w:vAlign w:val="bottom"/>
            <w:shd w:val="clear" w:color="auto" w:fill="CFF0FC"/>
          </w:tcPr>
          <w:p>
            <w:pPr>
              <w:spacing w:after="0"/>
              <w:rPr>
                <w:sz w:val="22"/>
                <w:szCs w:val="22"/>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80 %</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0.96 - 8.25</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1.00 - 8.75</w:t>
            </w:r>
          </w:p>
        </w:tc>
        <w:tc>
          <w:tcPr>
            <w:tcW w:w="220" w:type="dxa"/>
            <w:vAlign w:val="bottom"/>
          </w:tcPr>
          <w:p>
            <w:pPr>
              <w:spacing w:after="0"/>
              <w:rPr>
                <w:sz w:val="21"/>
                <w:szCs w:val="21"/>
                <w:color w:val="auto"/>
              </w:rPr>
            </w:pPr>
          </w:p>
        </w:tc>
      </w:tr>
    </w:tbl>
    <w:p>
      <w:pPr>
        <w:spacing w:after="0" w:line="29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Company utilizes estimates and assumptions in determining the estimated success payment liabilities and associated expense. A small change in the valuation of the Company’s common stock may have a relatively large change in the estimated fair value of the success payment liability and associated expense.</w:t>
      </w:r>
    </w:p>
    <w:p>
      <w:pPr>
        <w:spacing w:after="0" w:line="31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3 financial assets and liabilities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Equity Warrant</w:t>
            </w:r>
          </w:p>
        </w:tc>
        <w:tc>
          <w:tcPr>
            <w:tcW w:w="16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b w:val="1"/>
                <w:bCs w:val="1"/>
                <w:color w:val="auto"/>
              </w:rPr>
              <w:t>Success Payment</w:t>
            </w:r>
          </w:p>
        </w:tc>
        <w:tc>
          <w:tcPr>
            <w:tcW w:w="100" w:type="dxa"/>
            <w:vAlign w:val="bottom"/>
          </w:tcPr>
          <w:p>
            <w:pPr>
              <w:spacing w:after="0"/>
              <w:rPr>
                <w:sz w:val="19"/>
                <w:szCs w:val="19"/>
                <w:color w:val="auto"/>
              </w:rPr>
            </w:pPr>
          </w:p>
        </w:tc>
      </w:tr>
      <w:tr>
        <w:trPr>
          <w:trHeight w:val="246"/>
        </w:trPr>
        <w:tc>
          <w:tcPr>
            <w:tcW w:w="6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Investment</w:t>
            </w:r>
          </w:p>
        </w:tc>
        <w:tc>
          <w:tcPr>
            <w:tcW w:w="160" w:type="dxa"/>
            <w:vAlign w:val="bottom"/>
          </w:tcPr>
          <w:p>
            <w:pPr>
              <w:spacing w:after="0"/>
              <w:rPr>
                <w:sz w:val="21"/>
                <w:szCs w:val="21"/>
                <w:color w:val="auto"/>
              </w:rPr>
            </w:pPr>
          </w:p>
        </w:tc>
        <w:tc>
          <w:tcPr>
            <w:tcW w:w="1800" w:type="dxa"/>
            <w:vAlign w:val="bottom"/>
          </w:tcPr>
          <w:p>
            <w:pPr>
              <w:jc w:val="right"/>
              <w:ind w:right="47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1"/>
                <w:szCs w:val="21"/>
                <w:color w:val="auto"/>
              </w:rPr>
            </w:pPr>
          </w:p>
        </w:tc>
      </w:tr>
      <w:tr>
        <w:trPr>
          <w:trHeight w:val="256"/>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30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5,773</w:t>
            </w:r>
          </w:p>
        </w:tc>
        <w:tc>
          <w:tcPr>
            <w:tcW w:w="100" w:type="dxa"/>
            <w:vAlign w:val="bottom"/>
            <w:shd w:val="clear" w:color="auto" w:fill="CFF0FC"/>
          </w:tcPr>
          <w:p>
            <w:pPr>
              <w:spacing w:after="0"/>
              <w:rPr>
                <w:sz w:val="22"/>
                <w:szCs w:val="22"/>
                <w:color w:val="auto"/>
              </w:rPr>
            </w:pPr>
          </w:p>
        </w:tc>
      </w:tr>
      <w:tr>
        <w:trPr>
          <w:trHeight w:val="257"/>
        </w:trPr>
        <w:tc>
          <w:tcPr>
            <w:tcW w:w="6900" w:type="dxa"/>
            <w:vAlign w:val="bottom"/>
          </w:tcPr>
          <w:p>
            <w:pPr>
              <w:ind w:left="280"/>
              <w:spacing w:after="0" w:line="257" w:lineRule="exact"/>
              <w:rPr>
                <w:sz w:val="20"/>
                <w:szCs w:val="20"/>
                <w:color w:val="auto"/>
              </w:rPr>
            </w:pPr>
            <w:r>
              <w:rPr>
                <w:rFonts w:ascii="Arial" w:cs="Arial" w:eastAsia="Arial" w:hAnsi="Arial"/>
                <w:sz w:val="18"/>
                <w:szCs w:val="18"/>
                <w:color w:val="auto"/>
              </w:rPr>
              <w:t xml:space="preserve">Change in fair value </w:t>
            </w:r>
            <w:r>
              <w:rPr>
                <w:rFonts w:ascii="Arial" w:cs="Arial" w:eastAsia="Arial" w:hAnsi="Arial"/>
                <w:sz w:val="24"/>
                <w:szCs w:val="24"/>
                <w:color w:val="auto"/>
                <w:vertAlign w:val="superscript"/>
              </w:rPr>
              <w:t>(1)</w:t>
            </w:r>
          </w:p>
        </w:tc>
        <w:tc>
          <w:tcPr>
            <w:tcW w:w="240" w:type="dxa"/>
            <w:vAlign w:val="bottom"/>
          </w:tcPr>
          <w:p>
            <w:pPr>
              <w:spacing w:after="0"/>
              <w:rPr>
                <w:sz w:val="22"/>
                <w:szCs w:val="22"/>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(157 )</w:t>
            </w:r>
          </w:p>
        </w:tc>
        <w:tc>
          <w:tcPr>
            <w:tcW w:w="16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19,233</w:t>
            </w:r>
          </w:p>
        </w:tc>
        <w:tc>
          <w:tcPr>
            <w:tcW w:w="100" w:type="dxa"/>
            <w:vAlign w:val="bottom"/>
          </w:tcPr>
          <w:p>
            <w:pPr>
              <w:spacing w:after="0"/>
              <w:rPr>
                <w:sz w:val="22"/>
                <w:szCs w:val="22"/>
                <w:color w:val="auto"/>
              </w:rPr>
            </w:pPr>
          </w:p>
        </w:tc>
      </w:tr>
      <w:tr>
        <w:trPr>
          <w:trHeight w:val="290"/>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2021</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1968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1968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5" w:lineRule="exact"/>
        <w:rPr>
          <w:sz w:val="20"/>
          <w:szCs w:val="20"/>
          <w:color w:val="auto"/>
        </w:rPr>
      </w:pPr>
    </w:p>
    <w:p>
      <w:pPr>
        <w:ind w:firstLine="8"/>
        <w:spacing w:after="0" w:line="278" w:lineRule="auto"/>
        <w:tabs>
          <w:tab w:leader="none" w:pos="269" w:val="left"/>
        </w:tabs>
        <w:numPr>
          <w:ilvl w:val="0"/>
          <w:numId w:val="6"/>
        </w:numPr>
        <w:rPr>
          <w:rFonts w:ascii="Arial" w:cs="Arial" w:eastAsia="Arial" w:hAnsi="Arial"/>
          <w:sz w:val="14"/>
          <w:szCs w:val="14"/>
          <w:color w:val="231F20"/>
        </w:rPr>
      </w:pPr>
      <w:r>
        <w:rPr>
          <w:rFonts w:ascii="Arial" w:cs="Arial" w:eastAsia="Arial" w:hAnsi="Arial"/>
          <w:sz w:val="14"/>
          <w:szCs w:val="14"/>
          <w:color w:val="231F20"/>
        </w:rPr>
        <w:t>The change in fair value associated with the equity warrant investment is recorded in other (expense) income, net and the change in fair value associated with success payments liabilities is recorded in research and development expense.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36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Company’s lease portfolio is comprised of operating leases for laboratory, office and manufacturing facilities located in South San Francisco, California, Seattle, Washington and Bothell, Washington with contractual periods expiring between December 2021 and March 2031. In addition to minimum rent, the leases require payment of real estate taxes, insurance, common area maintenance charges and other executory costs. These additional charges are considered variable lease costs and are recognized in the period in which the costs are incurred.</w:t>
      </w:r>
    </w:p>
    <w:p>
      <w:pPr>
        <w:spacing w:after="0" w:line="31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In April 2021, the Company entered into a sublease, whereby the Company agreed to sublease approximately 11,000 rentable square feet of its space in South San Francisco, California currently leased by the Company. The sublease is classified as an operating lease and will expire in March 2031. The monthly fixed payment due to the Company is $0.1</w:t>
      </w: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8" w:name="page19"/>
    <w:bookmarkEnd w:id="18"/>
    <w:p>
      <w:pPr>
        <w:ind w:right="240"/>
        <w:spacing w:after="0" w:line="277" w:lineRule="auto"/>
        <w:rPr>
          <w:sz w:val="20"/>
          <w:szCs w:val="20"/>
          <w:color w:val="auto"/>
        </w:rPr>
      </w:pPr>
      <w:r>
        <w:rPr>
          <w:rFonts w:ascii="Arial" w:cs="Arial" w:eastAsia="Arial" w:hAnsi="Arial"/>
          <w:sz w:val="18"/>
          <w:szCs w:val="18"/>
          <w:color w:val="auto"/>
        </w:rPr>
        <w:t>million, subject to annual rent increases in accordance with the contract. There was no income recognized in the current period associated with this sublease as the lease has not yet commenced.</w:t>
      </w: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the Company’s future minimum operating lease commitments, including expected lease incentives to be received, as of June 30, 2021 (in thousands):</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ending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2021 (remaining six months)</w:t>
            </w:r>
          </w:p>
        </w:tc>
        <w:tc>
          <w:tcPr>
            <w:tcW w:w="68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5,473</w:t>
            </w:r>
          </w:p>
        </w:tc>
        <w:tc>
          <w:tcPr>
            <w:tcW w:w="100" w:type="dxa"/>
            <w:vAlign w:val="bottom"/>
            <w:shd w:val="clear" w:color="auto" w:fill="CFF0FC"/>
          </w:tcPr>
          <w:p>
            <w:pPr>
              <w:spacing w:after="0"/>
              <w:rPr>
                <w:sz w:val="22"/>
                <w:szCs w:val="22"/>
                <w:color w:val="auto"/>
              </w:rPr>
            </w:pPr>
          </w:p>
        </w:tc>
      </w:tr>
      <w:tr>
        <w:trPr>
          <w:trHeight w:val="250"/>
        </w:trPr>
        <w:tc>
          <w:tcPr>
            <w:tcW w:w="9240" w:type="dxa"/>
            <w:vAlign w:val="bottom"/>
          </w:tcPr>
          <w:p>
            <w:pPr>
              <w:ind w:left="20"/>
              <w:spacing w:after="0"/>
              <w:rPr>
                <w:sz w:val="20"/>
                <w:szCs w:val="20"/>
                <w:color w:val="auto"/>
              </w:rPr>
            </w:pPr>
            <w:r>
              <w:rPr>
                <w:rFonts w:ascii="Arial" w:cs="Arial" w:eastAsia="Arial" w:hAnsi="Arial"/>
                <w:sz w:val="18"/>
                <w:szCs w:val="18"/>
                <w:color w:val="auto"/>
              </w:rPr>
              <w:t>2022</w:t>
            </w:r>
          </w:p>
        </w:tc>
        <w:tc>
          <w:tcPr>
            <w:tcW w:w="6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10,733</w:t>
            </w:r>
          </w:p>
        </w:tc>
        <w:tc>
          <w:tcPr>
            <w:tcW w:w="100" w:type="dxa"/>
            <w:vAlign w:val="bottom"/>
          </w:tcPr>
          <w:p>
            <w:pPr>
              <w:spacing w:after="0"/>
              <w:rPr>
                <w:sz w:val="21"/>
                <w:szCs w:val="21"/>
                <w:color w:val="auto"/>
              </w:rPr>
            </w:pPr>
          </w:p>
        </w:tc>
      </w:tr>
      <w:tr>
        <w:trPr>
          <w:trHeight w:val="26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11,054</w:t>
            </w:r>
          </w:p>
        </w:tc>
        <w:tc>
          <w:tcPr>
            <w:tcW w:w="100" w:type="dxa"/>
            <w:vAlign w:val="bottom"/>
            <w:shd w:val="clear" w:color="auto" w:fill="CFF0FC"/>
          </w:tcPr>
          <w:p>
            <w:pPr>
              <w:spacing w:after="0"/>
              <w:rPr>
                <w:sz w:val="22"/>
                <w:szCs w:val="22"/>
                <w:color w:val="auto"/>
              </w:rPr>
            </w:pPr>
          </w:p>
        </w:tc>
      </w:tr>
      <w:tr>
        <w:trPr>
          <w:trHeight w:val="250"/>
        </w:trPr>
        <w:tc>
          <w:tcPr>
            <w:tcW w:w="9240" w:type="dxa"/>
            <w:vAlign w:val="bottom"/>
          </w:tcPr>
          <w:p>
            <w:pPr>
              <w:ind w:left="20"/>
              <w:spacing w:after="0"/>
              <w:rPr>
                <w:sz w:val="20"/>
                <w:szCs w:val="20"/>
                <w:color w:val="auto"/>
              </w:rPr>
            </w:pPr>
            <w:r>
              <w:rPr>
                <w:rFonts w:ascii="Arial" w:cs="Arial" w:eastAsia="Arial" w:hAnsi="Arial"/>
                <w:sz w:val="18"/>
                <w:szCs w:val="18"/>
                <w:color w:val="auto"/>
              </w:rPr>
              <w:t>2024</w:t>
            </w:r>
          </w:p>
        </w:tc>
        <w:tc>
          <w:tcPr>
            <w:tcW w:w="6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21"/>
                <w:szCs w:val="21"/>
                <w:color w:val="auto"/>
              </w:rPr>
            </w:pPr>
          </w:p>
        </w:tc>
      </w:tr>
      <w:tr>
        <w:trPr>
          <w:trHeight w:val="26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11,898</w:t>
            </w:r>
          </w:p>
        </w:tc>
        <w:tc>
          <w:tcPr>
            <w:tcW w:w="100" w:type="dxa"/>
            <w:vAlign w:val="bottom"/>
            <w:shd w:val="clear" w:color="auto" w:fill="CFF0FC"/>
          </w:tcPr>
          <w:p>
            <w:pPr>
              <w:spacing w:after="0"/>
              <w:rPr>
                <w:sz w:val="22"/>
                <w:szCs w:val="22"/>
                <w:color w:val="auto"/>
              </w:rPr>
            </w:pPr>
          </w:p>
        </w:tc>
      </w:tr>
      <w:tr>
        <w:trPr>
          <w:trHeight w:val="257"/>
        </w:trPr>
        <w:tc>
          <w:tcPr>
            <w:tcW w:w="9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60,564</w:t>
            </w:r>
          </w:p>
        </w:tc>
        <w:tc>
          <w:tcPr>
            <w:tcW w:w="100" w:type="dxa"/>
            <w:vAlign w:val="bottom"/>
          </w:tcPr>
          <w:p>
            <w:pPr>
              <w:spacing w:after="0"/>
              <w:rPr>
                <w:sz w:val="22"/>
                <w:szCs w:val="22"/>
                <w:color w:val="auto"/>
              </w:rPr>
            </w:pPr>
          </w:p>
        </w:tc>
      </w:tr>
      <w:tr>
        <w:trPr>
          <w:trHeight w:val="250"/>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undiscounted lease payments</w:t>
            </w:r>
          </w:p>
        </w:tc>
        <w:tc>
          <w:tcPr>
            <w:tcW w:w="6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111,107</w:t>
            </w:r>
          </w:p>
        </w:tc>
        <w:tc>
          <w:tcPr>
            <w:tcW w:w="100" w:type="dxa"/>
            <w:vAlign w:val="bottom"/>
            <w:shd w:val="clear" w:color="auto" w:fill="CFF0FC"/>
          </w:tcPr>
          <w:p>
            <w:pPr>
              <w:spacing w:after="0"/>
              <w:rPr>
                <w:sz w:val="21"/>
                <w:szCs w:val="21"/>
                <w:color w:val="auto"/>
              </w:rPr>
            </w:pPr>
          </w:p>
        </w:tc>
      </w:tr>
      <w:tr>
        <w:trPr>
          <w:trHeight w:val="250"/>
        </w:trPr>
        <w:tc>
          <w:tcPr>
            <w:tcW w:w="92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6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(34,998 )</w:t>
            </w:r>
          </w:p>
        </w:tc>
      </w:tr>
      <w:tr>
        <w:trPr>
          <w:trHeight w:val="257"/>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tenant improvement allowances</w:t>
            </w:r>
          </w:p>
        </w:tc>
        <w:tc>
          <w:tcPr>
            <w:tcW w:w="6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(12,657 )</w:t>
            </w:r>
          </w:p>
        </w:tc>
      </w:tr>
      <w:tr>
        <w:trPr>
          <w:trHeight w:val="257"/>
        </w:trPr>
        <w:tc>
          <w:tcPr>
            <w:tcW w:w="9240" w:type="dxa"/>
            <w:vAlign w:val="bottom"/>
            <w:tcBorders>
              <w:top w:val="single" w:sz="8" w:color="CFF0FC"/>
            </w:tcBorders>
          </w:tcPr>
          <w:p>
            <w:pPr>
              <w:ind w:left="20"/>
              <w:spacing w:after="0" w:line="257" w:lineRule="exact"/>
              <w:rPr>
                <w:sz w:val="20"/>
                <w:szCs w:val="20"/>
                <w:color w:val="auto"/>
              </w:rPr>
            </w:pPr>
            <w:r>
              <w:rPr>
                <w:rFonts w:ascii="Arial" w:cs="Arial" w:eastAsia="Arial" w:hAnsi="Arial"/>
                <w:sz w:val="18"/>
                <w:szCs w:val="18"/>
                <w:color w:val="auto"/>
              </w:rPr>
              <w:t xml:space="preserve">Total operating lease liabilities </w:t>
            </w:r>
            <w:r>
              <w:rPr>
                <w:rFonts w:ascii="Arial" w:cs="Arial" w:eastAsia="Arial" w:hAnsi="Arial"/>
                <w:sz w:val="24"/>
                <w:szCs w:val="24"/>
                <w:color w:val="auto"/>
                <w:vertAlign w:val="superscript"/>
              </w:rPr>
              <w:t>(1)</w:t>
            </w: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63,452</w:t>
            </w:r>
          </w:p>
        </w:tc>
        <w:tc>
          <w:tcPr>
            <w:tcW w:w="100" w:type="dxa"/>
            <w:vAlign w:val="bottom"/>
            <w:tcBorders>
              <w:top w:val="single" w:sz="8" w:color="CFF0FC"/>
            </w:tcBorders>
          </w:tcPr>
          <w:p>
            <w:pPr>
              <w:spacing w:after="0"/>
              <w:rPr>
                <w:sz w:val="22"/>
                <w:szCs w:val="22"/>
                <w:color w:val="auto"/>
              </w:rPr>
            </w:pPr>
          </w:p>
        </w:tc>
      </w:tr>
      <w:tr>
        <w:trPr>
          <w:trHeight w:val="20"/>
        </w:trPr>
        <w:tc>
          <w:tcPr>
            <w:tcW w:w="9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(1) Total operating lease liabilities consisted of $2.0 million included in accrued liabilities and other current liabilities and $61.5 million in long-term lease liabilities.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 operating lease costs for all operating leases were $2.4 million and $2.9 million for the three months ended June 30, 2021 and 2020, respectively, and $4.8 million and $5.4 million for the six months ended June 30, 2021 and 2020, respectively. The operating lease costs and total commitments for short-term leases was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for the three and six months ended June 30, 2021 and 2020. Variable lease costs for operating leases were $1.3 million and $0.6 million for the three months ended June 30, 2021 and 2020, respectively, and $2.4 million and $1.0 million for the six months ended June 30, 2021 and 2020,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3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March 2020, the Company sold 42,905,042 shares of its Series C convertible preferred stock at a price of $11.49 per share for proceeds of $492.5 million, net of issuance costs of $0.5 million.</w:t>
      </w: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March 2020, the Company repurchased 546,806 shares of its Series A convertible preferred stock from a related party for a purchase price of $4.2 million.</w:t>
      </w: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Upon the closing of the IPO, 194,474,431 shares of convertible preferred stock then outstanding converted into an equivalent number of shares of common stock. As of June 30, 2021, no shares of convertible preferred stock were outstanding.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3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amended and restated its certificate of incorporation, effective June 2021, increasing the number of shares the Company has the authority to issue to 510.0 million shares, of which 500.0 million are common shares and 10.0 million shares are preferred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369"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The Company is authorized to issue 10,000,000 shares of preferred stock, par value $0.0001 per share. As of June 30, 2021, no shares of preferred stock were outstanding.</w:t>
      </w: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36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As of June 30, 2021 and December 31, 2020, there were 238,548,843 shares and 15,569,788 shares of the Company’s common stock outstanding, respectively, excluding 4,550,002 shares and 7,562,503 shares, respectively, of restricted stock awards (“RSAs”) outstanding that are subject to vesting requirements.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In March 2020, the Company repurchased 2,032,166 shares of its common stock from a related party for a purchase price of $11.8 million.</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36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In June 2021, the Company adopted the 2021 Equity Incentive Plan ("2021 Plan"), which on the date of the underwriting agreement related to the Company's IPO became effective with an initial reserve of 26,662,087 shares, plus any shares subject to outstanding awards granted under the 2018 Equity Incentive Plan ("2018 Plan") that, on or after the effectiveness of the 2021 Plan, terminate or expire before exercise or settlement, are not issued because the award is settled in cash, are forfeited because of the failure to vest, or are reacquired or withheld (or not issued) to satisfy a tax withholding obligation or the purchase or exercise price. In addition, the number of shares reserved for issuance under the 2021 Plan will automatically increase on January 1 of each year for a period of ten years, beginning on January 1, 2022 and continuing through January 1, 2031, in an amount equal to (1) 5% of the total number of shares of our common stock outstanding on December 31 of the immediately preceding year, or (2) a lesser number of shares determined by our board of directors no later than December 31 of the immediately preceding year. Under the 2021 Plan, the Company may grant incentive stock options, non-statutory stock options, RSAs, restricted stock units, stock appreciation rights, performance awards and other stock-based awards. Terms of stock awards, including vesting requirements, are determined by the Company's board of directors or by a committee authorized by the Company's board of directors, subject to provisions of the 2021 Plan. The term of any stock option granted under the 2021 Plan cannot exceed ten years. Generally, awards granted by the Company vest over four years, but may be granted with different vesting terms. In conjunction with adopting the 2021 Plan, the Company discontinued the 2018 Plan with respect to new equity awards.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26.5 million shares were available for future issuance pursuant to the 2021 Plan.</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36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June 2021, the Company adopted the 2021 Employee Stock Purchase Plan ("2021 ESPP"), which became effective immediately prior to the execution of the underwriting agreement related to the Company's IPO with an initial reserve of 2,470,000 shares. The 2021 ESPP allows eligible employees to purchase shares of the Company's common stock at a discount through payroll deductions of up to 15% of their earnings, subject to plan limitations. Unless otherwise determined by the Company's board of directors, employees are able to purchase shares at 85% of the lower of the fair market value of the Company's common stock on the first date of an offering or on the purchase date. The number of shares of the Company's common stock reserved for issuance under the 2021 ESPP will automatically increase on January 1 of each year for a period of ten years, beginning on January 1, 2022 and continuing through January 1, 2031, by the lesser of (1) 1% of the total number of shares of our common stock outstanding on December 31 of the immediately preceding year, and (2) 4,940,000 shares; provided, however, that the Company's board of directors may act to provide a lesser increase in number of shares. The Company may specify offerings with durations not more than 27 months and may specify shorter purchase periods within each offering.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36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In 2018, the Company established the 2018 Plan under which it may grant incentive stock options, non-s</w:t>
      </w:r>
      <w:r>
        <w:rPr>
          <w:rFonts w:ascii="Arial" w:cs="Arial" w:eastAsia="Arial" w:hAnsi="Arial"/>
          <w:sz w:val="18"/>
          <w:szCs w:val="18"/>
          <w:color w:val="231F20"/>
        </w:rPr>
        <w:t>tatutory stock options, RSAs,</w:t>
      </w:r>
      <w:r>
        <w:rPr>
          <w:rFonts w:ascii="Arial" w:cs="Arial" w:eastAsia="Arial" w:hAnsi="Arial"/>
          <w:sz w:val="18"/>
          <w:szCs w:val="18"/>
          <w:color w:val="auto"/>
        </w:rPr>
        <w:t xml:space="preserve"> </w:t>
      </w:r>
      <w:r>
        <w:rPr>
          <w:rFonts w:ascii="Arial" w:cs="Arial" w:eastAsia="Arial" w:hAnsi="Arial"/>
          <w:sz w:val="18"/>
          <w:szCs w:val="18"/>
          <w:color w:val="231F20"/>
        </w:rPr>
        <w:t>restricted stock units, stock appreciation rights and other stock-based awards. Terms of stock awards, including vesting requirements, were determined by the Company's board of directors or by a committee authorized by the Company's board of directors, subject to provisions of the 2018 Plan. The term of any stock option granted under the 2018 Plan cannot exceed ten years. Generally, awards granted by the Company vest over four years, but may have been granted with different vesting terms. Pursuant to the terms of the 2021 Plan, any shares subject to outstanding options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right="100"/>
        <w:spacing w:after="0" w:line="271" w:lineRule="auto"/>
        <w:rPr>
          <w:sz w:val="20"/>
          <w:szCs w:val="20"/>
          <w:color w:val="auto"/>
        </w:rPr>
      </w:pPr>
      <w:r>
        <w:rPr>
          <w:rFonts w:ascii="Arial" w:cs="Arial" w:eastAsia="Arial" w:hAnsi="Arial"/>
          <w:sz w:val="18"/>
          <w:szCs w:val="18"/>
          <w:color w:val="231F20"/>
        </w:rPr>
        <w:t>originally granted under the 2018 Plan that terminate, expire or lapse for any reason without the delivery of shares to the holder thereof shall become available for issuance pursuant to awards granted under the 2021 Plan. While no shares are available for future issuance under the 2018 Plan, it continues to govern outstanding equity awards granted thereunder.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369" w:lineRule="exact"/>
        <w:rPr>
          <w:sz w:val="20"/>
          <w:szCs w:val="20"/>
          <w:color w:val="auto"/>
        </w:rPr>
      </w:pPr>
    </w:p>
    <w:p>
      <w:pPr>
        <w:ind w:right="1120"/>
        <w:spacing w:after="0" w:line="277" w:lineRule="auto"/>
        <w:rPr>
          <w:sz w:val="20"/>
          <w:szCs w:val="20"/>
          <w:color w:val="auto"/>
        </w:rPr>
      </w:pPr>
      <w:r>
        <w:rPr>
          <w:rFonts w:ascii="Arial" w:cs="Arial" w:eastAsia="Arial" w:hAnsi="Arial"/>
          <w:sz w:val="18"/>
          <w:szCs w:val="18"/>
          <w:color w:val="231F20"/>
        </w:rPr>
        <w:t>Stock-based compensation expense by classification included with</w:t>
      </w:r>
      <w:r>
        <w:rPr>
          <w:rFonts w:ascii="Arial" w:cs="Arial" w:eastAsia="Arial" w:hAnsi="Arial"/>
          <w:sz w:val="18"/>
          <w:szCs w:val="18"/>
          <w:color w:val="000000"/>
        </w:rPr>
        <w:t>in the condensed consolidated statements of operations and</w:t>
      </w:r>
      <w:r>
        <w:rPr>
          <w:rFonts w:ascii="Arial" w:cs="Arial" w:eastAsia="Arial" w:hAnsi="Arial"/>
          <w:sz w:val="18"/>
          <w:szCs w:val="18"/>
          <w:color w:val="231F20"/>
        </w:rPr>
        <w:t xml:space="preserve"> </w:t>
      </w:r>
      <w:r>
        <w:rPr>
          <w:rFonts w:ascii="Arial" w:cs="Arial" w:eastAsia="Arial" w:hAnsi="Arial"/>
          <w:sz w:val="18"/>
          <w:szCs w:val="18"/>
          <w:color w:val="000000"/>
        </w:rPr>
        <w:t>comprehensive loss was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1"/>
                <w:szCs w:val="21"/>
                <w:color w:val="auto"/>
              </w:rPr>
            </w:pPr>
          </w:p>
        </w:tc>
      </w:tr>
      <w:tr>
        <w:trPr>
          <w:trHeight w:val="250"/>
        </w:trPr>
        <w:tc>
          <w:tcPr>
            <w:tcW w:w="4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5,091</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9,942</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100" w:type="dxa"/>
            <w:vAlign w:val="bottom"/>
            <w:shd w:val="clear" w:color="auto" w:fill="CFF0FC"/>
          </w:tcPr>
          <w:p>
            <w:pPr>
              <w:spacing w:after="0"/>
              <w:rPr>
                <w:sz w:val="22"/>
                <w:szCs w:val="22"/>
                <w:color w:val="auto"/>
              </w:rPr>
            </w:pPr>
          </w:p>
        </w:tc>
      </w:tr>
      <w:tr>
        <w:trPr>
          <w:trHeight w:val="257"/>
        </w:trPr>
        <w:tc>
          <w:tcPr>
            <w:tcW w:w="43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10,158</w:t>
            </w:r>
          </w:p>
        </w:tc>
        <w:tc>
          <w:tcPr>
            <w:tcW w:w="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18,039</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22"/>
                <w:szCs w:val="22"/>
                <w:color w:val="auto"/>
              </w:rPr>
            </w:pPr>
          </w:p>
        </w:tc>
      </w:tr>
      <w:tr>
        <w:trPr>
          <w:trHeight w:val="290"/>
        </w:trPr>
        <w:tc>
          <w:tcPr>
            <w:tcW w:w="43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15,249</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7,268</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27,981</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-25400</wp:posOffset>
            </wp:positionV>
            <wp:extent cx="1968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1968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1803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1803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1797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797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231F20"/>
        </w:rPr>
        <w:t>Stock-based compensation expense for the three and six months ended June 30, 2021 includes the impact of an award accelerated in connection with the Company's IPO resulting in stock-based compensation expense of $2.6 million.</w:t>
      </w:r>
    </w:p>
    <w:p>
      <w:pPr>
        <w:spacing w:after="0" w:line="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Total stock-based compensation cost related to unvested awards not yet recognized and the weighted-average periods over which the awards are expected to be recognized as of June 30, 2021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Unrecognized stock-based compensation cost (in thousands)</w:t>
            </w:r>
          </w:p>
        </w:tc>
        <w:tc>
          <w:tcPr>
            <w:tcW w:w="202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115,973</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Expected weighted-average period compensation cost to be recognized (in years)</w:t>
            </w:r>
          </w:p>
        </w:tc>
        <w:tc>
          <w:tcPr>
            <w:tcW w:w="20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2.78</w:t>
            </w:r>
          </w:p>
        </w:tc>
      </w:tr>
    </w:tbl>
    <w:p>
      <w:pPr>
        <w:spacing w:after="0" w:line="200" w:lineRule="exact"/>
        <w:rPr>
          <w:sz w:val="20"/>
          <w:szCs w:val="20"/>
          <w:color w:val="auto"/>
        </w:rPr>
      </w:pPr>
    </w:p>
    <w:p>
      <w:pPr>
        <w:sectPr>
          <w:pgSz w:w="11900" w:h="16838" w:orient="portrait"/>
          <w:cols w:equalWidth="0" w:num="1">
            <w:col w:w="11240"/>
          </w:cols>
          <w:pgMar w:left="320" w:top="706" w:right="33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RSAs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shares as of December 31, 2020</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shares as of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Weighted-Average</w:t>
            </w:r>
          </w:p>
        </w:tc>
      </w:tr>
      <w:tr>
        <w:trPr>
          <w:trHeight w:val="229"/>
        </w:trPr>
        <w:tc>
          <w:tcPr>
            <w:tcW w:w="23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9"/>
                <w:szCs w:val="19"/>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Value at Grant</w:t>
            </w:r>
          </w:p>
        </w:tc>
      </w:tr>
      <w:tr>
        <w:trPr>
          <w:trHeight w:val="246"/>
        </w:trPr>
        <w:tc>
          <w:tcPr>
            <w:tcW w:w="232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1"/>
                <w:szCs w:val="21"/>
                <w:color w:val="auto"/>
              </w:rPr>
            </w:pPr>
          </w:p>
        </w:tc>
        <w:tc>
          <w:tcPr>
            <w:tcW w:w="18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Date Per Share</w:t>
            </w:r>
          </w:p>
        </w:tc>
      </w:tr>
      <w:tr>
        <w:trPr>
          <w:trHeight w:val="243"/>
        </w:trPr>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7,562,503</w:t>
            </w:r>
          </w:p>
        </w:tc>
        <w:tc>
          <w:tcPr>
            <w:tcW w:w="34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0.0001</w:t>
            </w:r>
          </w:p>
        </w:tc>
      </w:tr>
      <w:tr>
        <w:trPr>
          <w:trHeight w:val="257"/>
        </w:trPr>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(2,993,751 )</w:t>
            </w:r>
          </w:p>
        </w:tc>
        <w:tc>
          <w:tcPr>
            <w:tcW w:w="14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0.0001</w:t>
            </w:r>
          </w:p>
        </w:tc>
      </w:tr>
      <w:tr>
        <w:trPr>
          <w:trHeight w:val="263"/>
        </w:trPr>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(18,750 )</w:t>
            </w:r>
          </w:p>
        </w:tc>
        <w:tc>
          <w:tcPr>
            <w:tcW w:w="14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0.0001</w:t>
            </w:r>
          </w:p>
        </w:tc>
      </w:tr>
      <w:tr>
        <w:trPr>
          <w:trHeight w:val="250"/>
        </w:trPr>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4,550,002</w:t>
            </w:r>
          </w:p>
        </w:tc>
        <w:tc>
          <w:tcPr>
            <w:tcW w:w="3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0.0001</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60" w:space="720"/>
            <w:col w:w="4360"/>
          </w:cols>
          <w:pgMar w:left="320" w:top="706" w:right="33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Weighted-</w:t>
            </w: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rPr>
              <w:t>Aggregate</w:t>
            </w:r>
          </w:p>
        </w:tc>
        <w:tc>
          <w:tcPr>
            <w:tcW w:w="100" w:type="dxa"/>
            <w:vAlign w:val="bottom"/>
          </w:tcPr>
          <w:p>
            <w:pPr>
              <w:spacing w:after="0"/>
              <w:rPr>
                <w:sz w:val="19"/>
                <w:szCs w:val="19"/>
                <w:color w:val="auto"/>
              </w:rPr>
            </w:pPr>
          </w:p>
        </w:tc>
      </w:tr>
      <w:tr>
        <w:trPr>
          <w:trHeight w:val="230"/>
        </w:trPr>
        <w:tc>
          <w:tcPr>
            <w:tcW w:w="4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Average</w:t>
            </w: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Contractual</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Intrinsic</w:t>
            </w:r>
          </w:p>
        </w:tc>
        <w:tc>
          <w:tcPr>
            <w:tcW w:w="100" w:type="dxa"/>
            <w:vAlign w:val="bottom"/>
          </w:tcPr>
          <w:p>
            <w:pPr>
              <w:spacing w:after="0"/>
              <w:rPr>
                <w:sz w:val="19"/>
                <w:szCs w:val="19"/>
                <w:color w:val="auto"/>
              </w:rPr>
            </w:pPr>
          </w:p>
        </w:tc>
      </w:tr>
      <w:tr>
        <w:trPr>
          <w:trHeight w:val="229"/>
        </w:trPr>
        <w:tc>
          <w:tcPr>
            <w:tcW w:w="4480" w:type="dxa"/>
            <w:vAlign w:val="bottom"/>
          </w:tcPr>
          <w:p>
            <w:pPr>
              <w:spacing w:after="0"/>
              <w:rPr>
                <w:sz w:val="19"/>
                <w:szCs w:val="19"/>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Number of</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Exercise Price</w:t>
            </w: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Value</w:t>
            </w:r>
          </w:p>
        </w:tc>
        <w:tc>
          <w:tcPr>
            <w:tcW w:w="100" w:type="dxa"/>
            <w:vAlign w:val="bottom"/>
          </w:tcPr>
          <w:p>
            <w:pPr>
              <w:spacing w:after="0"/>
              <w:rPr>
                <w:sz w:val="19"/>
                <w:szCs w:val="19"/>
                <w:color w:val="auto"/>
              </w:rPr>
            </w:pPr>
          </w:p>
        </w:tc>
      </w:tr>
      <w:tr>
        <w:trPr>
          <w:trHeight w:val="246"/>
        </w:trPr>
        <w:tc>
          <w:tcPr>
            <w:tcW w:w="4480" w:type="dxa"/>
            <w:vAlign w:val="bottom"/>
          </w:tcPr>
          <w:p>
            <w:pPr>
              <w:spacing w:after="0"/>
              <w:rPr>
                <w:sz w:val="21"/>
                <w:szCs w:val="21"/>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Stock Options</w:t>
            </w:r>
          </w:p>
        </w:tc>
        <w:tc>
          <w:tcPr>
            <w:tcW w:w="180" w:type="dxa"/>
            <w:vAlign w:val="bottom"/>
          </w:tcPr>
          <w:p>
            <w:pPr>
              <w:spacing w:after="0"/>
              <w:rPr>
                <w:sz w:val="21"/>
                <w:szCs w:val="21"/>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Per Share</w:t>
            </w:r>
          </w:p>
        </w:tc>
        <w:tc>
          <w:tcPr>
            <w:tcW w:w="3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21"/>
                <w:szCs w:val="21"/>
                <w:color w:val="auto"/>
              </w:rPr>
            </w:pPr>
          </w:p>
        </w:tc>
      </w:tr>
      <w:tr>
        <w:trPr>
          <w:trHeight w:val="256"/>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outstanding as of December 31, 2020</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34,413,889</w:t>
            </w:r>
          </w:p>
        </w:tc>
        <w:tc>
          <w:tcPr>
            <w:tcW w:w="32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FF0FC"/>
          </w:tcPr>
          <w:p>
            <w:pPr>
              <w:spacing w:after="0"/>
              <w:rPr>
                <w:sz w:val="22"/>
                <w:szCs w:val="22"/>
                <w:color w:val="auto"/>
              </w:rPr>
            </w:pPr>
          </w:p>
        </w:tc>
        <w:tc>
          <w:tcPr>
            <w:tcW w:w="138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13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4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10,709,032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7.78</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4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Exercised</w:t>
            </w: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(510,873 )</w:t>
            </w: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6"/>
        </w:trPr>
        <w:tc>
          <w:tcPr>
            <w:tcW w:w="4480" w:type="dxa"/>
            <w:vAlign w:val="bottom"/>
          </w:tcPr>
          <w:p>
            <w:pPr>
              <w:ind w:left="280"/>
              <w:spacing w:after="0"/>
              <w:rPr>
                <w:sz w:val="20"/>
                <w:szCs w:val="20"/>
                <w:color w:val="auto"/>
              </w:rPr>
            </w:pPr>
            <w:r>
              <w:rPr>
                <w:rFonts w:ascii="Arial" w:cs="Arial" w:eastAsia="Arial" w:hAnsi="Arial"/>
                <w:sz w:val="18"/>
                <w:szCs w:val="18"/>
                <w:color w:val="auto"/>
              </w:rPr>
              <w:t>Canceled or forfeited</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(2,436,221 )</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0"/>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outstanding as of June 30, 2021</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42,175,827</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3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498,038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Options exercisable as of June 30, 2021</w:t>
            </w:r>
          </w:p>
        </w:tc>
        <w:tc>
          <w:tcPr>
            <w:tcW w:w="1500" w:type="dxa"/>
            <w:vAlign w:val="bottom"/>
          </w:tcPr>
          <w:p>
            <w:pPr>
              <w:jc w:val="right"/>
              <w:spacing w:after="0"/>
              <w:rPr>
                <w:sz w:val="20"/>
                <w:szCs w:val="20"/>
                <w:color w:val="auto"/>
              </w:rPr>
            </w:pPr>
            <w:r>
              <w:rPr>
                <w:rFonts w:ascii="Arial" w:cs="Arial" w:eastAsia="Arial" w:hAnsi="Arial"/>
                <w:sz w:val="18"/>
                <w:szCs w:val="18"/>
                <w:color w:val="auto"/>
              </w:rPr>
              <w:t>23,155,757</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302,978</w:t>
            </w:r>
          </w:p>
        </w:tc>
        <w:tc>
          <w:tcPr>
            <w:tcW w:w="100" w:type="dxa"/>
            <w:vAlign w:val="bottom"/>
          </w:tcPr>
          <w:p>
            <w:pPr>
              <w:spacing w:after="0"/>
              <w:rPr>
                <w:sz w:val="20"/>
                <w:szCs w:val="20"/>
                <w:color w:val="auto"/>
              </w:rPr>
            </w:pPr>
          </w:p>
        </w:tc>
      </w:tr>
      <w:tr>
        <w:trPr>
          <w:trHeight w:val="20"/>
        </w:trPr>
        <w:tc>
          <w:tcPr>
            <w:tcW w:w="44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480" w:type="dxa"/>
            <w:vAlign w:val="bottom"/>
          </w:tcPr>
          <w:p>
            <w:pPr>
              <w:spacing w:after="0"/>
              <w:rPr>
                <w:sz w:val="24"/>
                <w:szCs w:val="24"/>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-590550</wp:posOffset>
            </wp:positionV>
            <wp:extent cx="1968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-573405</wp:posOffset>
            </wp:positionV>
            <wp:extent cx="1968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-590550</wp:posOffset>
            </wp:positionV>
            <wp:extent cx="1803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-573405</wp:posOffset>
            </wp:positionV>
            <wp:extent cx="1803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-590550</wp:posOffset>
            </wp:positionV>
            <wp:extent cx="1797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-573405</wp:posOffset>
            </wp:positionV>
            <wp:extent cx="1797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21" w:name="page22"/>
    <w:bookmarkEnd w:id="21"/>
    <w:p>
      <w:pPr>
        <w:ind w:right="180"/>
        <w:spacing w:after="0" w:line="277" w:lineRule="auto"/>
        <w:rPr>
          <w:sz w:val="20"/>
          <w:szCs w:val="20"/>
          <w:color w:val="auto"/>
        </w:rPr>
      </w:pPr>
      <w:r>
        <w:rPr>
          <w:rFonts w:ascii="Arial" w:cs="Arial" w:eastAsia="Arial" w:hAnsi="Arial"/>
          <w:sz w:val="18"/>
          <w:szCs w:val="18"/>
          <w:color w:val="auto"/>
        </w:rPr>
        <w:t>The fair value of stock options granted to employees, directors and consultants was estimated on the date of grant using the Black-Scholes option pricing model using the following weighted-average assumptions:</w:t>
      </w:r>
    </w:p>
    <w:p>
      <w:pPr>
        <w:spacing w:after="0" w:line="243"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28575</wp:posOffset>
            </wp:positionV>
            <wp:extent cx="27686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80" w:type="dxa"/>
            <w:vAlign w:val="bottom"/>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r>
      <w:tr>
        <w:trPr>
          <w:trHeight w:val="257"/>
        </w:trPr>
        <w:tc>
          <w:tcPr>
            <w:tcW w:w="8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2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w:t>
            </w:r>
          </w:p>
        </w:tc>
      </w:tr>
      <w:tr>
        <w:trPr>
          <w:trHeight w:val="25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63"/>
        </w:trPr>
        <w:tc>
          <w:tcPr>
            <w:tcW w:w="8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5.96</w:t>
            </w:r>
          </w:p>
        </w:tc>
      </w:tr>
      <w:tr>
        <w:trPr>
          <w:trHeight w:val="24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weighted average grant date fair value of options granted for the six months ended June 30, 2021 and 2020 was $5.79 per share and $2.71 per share,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3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Basic and diluted net loss per share attributed to common stockholders is calculated by dividing net loss attributed to common stockholders by the weighted average number of common shares outstanding during the period, without consideration for common stock equivalents. The Company’s potentially dilutive shares, which include preferred stock, unvested RSAs and options to purchase common stock, are considered to be common stock equivalents and are only included in the calculation of diluted net loss per share when their effect is dilutive. Potentially dilutive common shares have been excluded from the diluted net loss per common share computations in all periods presented because such securities have an anti-dilutive effect on net loss per common share due to the Company’s net loss. There are no reconciling items used to calculate the weighted-average number of total common shares outstanding for basic and diluted net loss per common share.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tcPr>
          <w:p>
            <w:pPr>
              <w:spacing w:after="0"/>
              <w:rPr>
                <w:sz w:val="20"/>
                <w:szCs w:val="20"/>
                <w:color w:val="auto"/>
              </w:rPr>
            </w:pPr>
            <w:r>
              <w:rPr>
                <w:rFonts w:ascii="Arial" w:cs="Arial" w:eastAsia="Arial" w:hAnsi="Arial"/>
                <w:sz w:val="18"/>
                <w:szCs w:val="18"/>
                <w:color w:val="auto"/>
              </w:rPr>
              <w:t>As of June 30, 2021 and 2020 potentially dilutive securities were as follows:</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20"/>
        </w:trPr>
        <w:tc>
          <w:tcPr>
            <w:tcW w:w="7040" w:type="dxa"/>
            <w:vAlign w:val="bottom"/>
          </w:tcPr>
          <w:p>
            <w:pPr>
              <w:spacing w:after="0"/>
              <w:rPr>
                <w:sz w:val="24"/>
                <w:szCs w:val="24"/>
                <w:color w:val="auto"/>
              </w:rPr>
            </w:pPr>
          </w:p>
        </w:tc>
        <w:tc>
          <w:tcPr>
            <w:tcW w:w="2680" w:type="dxa"/>
            <w:vAlign w:val="bottom"/>
            <w:tcBorders>
              <w:bottom w:val="single" w:sz="8" w:color="auto"/>
            </w:tcBorders>
            <w:gridSpan w:val="3"/>
          </w:tcPr>
          <w:p>
            <w:pPr>
              <w:ind w:left="1680"/>
              <w:spacing w:after="0"/>
              <w:rPr>
                <w:sz w:val="20"/>
                <w:szCs w:val="20"/>
                <w:color w:val="auto"/>
              </w:rPr>
            </w:pPr>
            <w:r>
              <w:rPr>
                <w:rFonts w:ascii="Arial" w:cs="Arial" w:eastAsia="Arial" w:hAnsi="Arial"/>
                <w:sz w:val="18"/>
                <w:szCs w:val="18"/>
                <w:b w:val="1"/>
                <w:bCs w:val="1"/>
                <w:color w:val="auto"/>
              </w:rPr>
              <w:t>June 30,</w:t>
            </w: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040" w:type="dxa"/>
            <w:vAlign w:val="bottom"/>
          </w:tcPr>
          <w:p>
            <w:pPr>
              <w:spacing w:after="0"/>
              <w:rPr>
                <w:sz w:val="21"/>
                <w:szCs w:val="21"/>
                <w:color w:val="auto"/>
              </w:rPr>
            </w:pPr>
          </w:p>
        </w:tc>
        <w:tc>
          <w:tcPr>
            <w:tcW w:w="19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6"/>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preferred stock</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194,474,431</w:t>
            </w:r>
          </w:p>
        </w:tc>
        <w:tc>
          <w:tcPr>
            <w:tcW w:w="100" w:type="dxa"/>
            <w:vAlign w:val="bottom"/>
            <w:shd w:val="clear" w:color="auto" w:fill="CFF0FC"/>
          </w:tcPr>
          <w:p>
            <w:pPr>
              <w:spacing w:after="0"/>
              <w:rPr>
                <w:sz w:val="22"/>
                <w:szCs w:val="22"/>
                <w:color w:val="auto"/>
              </w:rPr>
            </w:pPr>
          </w:p>
        </w:tc>
      </w:tr>
      <w:tr>
        <w:trPr>
          <w:trHeight w:val="250"/>
        </w:trPr>
        <w:tc>
          <w:tcPr>
            <w:tcW w:w="7040" w:type="dxa"/>
            <w:vAlign w:val="bottom"/>
          </w:tcPr>
          <w:p>
            <w:pPr>
              <w:ind w:left="20"/>
              <w:spacing w:after="0"/>
              <w:rPr>
                <w:sz w:val="20"/>
                <w:szCs w:val="20"/>
                <w:color w:val="auto"/>
              </w:rPr>
            </w:pPr>
            <w:r>
              <w:rPr>
                <w:rFonts w:ascii="Arial" w:cs="Arial" w:eastAsia="Arial" w:hAnsi="Arial"/>
                <w:sz w:val="18"/>
                <w:szCs w:val="18"/>
                <w:color w:val="auto"/>
              </w:rPr>
              <w:t>Unvested RSAs</w:t>
            </w:r>
          </w:p>
        </w:tc>
        <w:tc>
          <w:tcPr>
            <w:tcW w:w="1900" w:type="dxa"/>
            <w:vAlign w:val="bottom"/>
          </w:tcPr>
          <w:p>
            <w:pPr>
              <w:jc w:val="right"/>
              <w:spacing w:after="0"/>
              <w:rPr>
                <w:sz w:val="20"/>
                <w:szCs w:val="20"/>
                <w:color w:val="auto"/>
              </w:rPr>
            </w:pPr>
            <w:r>
              <w:rPr>
                <w:rFonts w:ascii="Arial" w:cs="Arial" w:eastAsia="Arial" w:hAnsi="Arial"/>
                <w:sz w:val="18"/>
                <w:szCs w:val="18"/>
                <w:color w:val="auto"/>
              </w:rPr>
              <w:t>4,550,002</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10,678,338</w:t>
            </w:r>
          </w:p>
        </w:tc>
        <w:tc>
          <w:tcPr>
            <w:tcW w:w="100" w:type="dxa"/>
            <w:vAlign w:val="bottom"/>
          </w:tcPr>
          <w:p>
            <w:pPr>
              <w:spacing w:after="0"/>
              <w:rPr>
                <w:sz w:val="21"/>
                <w:szCs w:val="21"/>
                <w:color w:val="auto"/>
              </w:rPr>
            </w:pPr>
          </w:p>
        </w:tc>
      </w:tr>
      <w:tr>
        <w:trPr>
          <w:trHeight w:val="263"/>
        </w:trPr>
        <w:tc>
          <w:tcPr>
            <w:tcW w:w="7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42,175,827</w:t>
            </w:r>
          </w:p>
        </w:tc>
        <w:tc>
          <w:tcPr>
            <w:tcW w:w="3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32,055,331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040" w:type="dxa"/>
            <w:vAlign w:val="bottom"/>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46,725,829</w:t>
            </w:r>
          </w:p>
        </w:tc>
        <w:tc>
          <w:tcPr>
            <w:tcW w:w="3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237,208,100</w:t>
            </w:r>
          </w:p>
        </w:tc>
        <w:tc>
          <w:tcPr>
            <w:tcW w:w="100" w:type="dxa"/>
            <w:vAlign w:val="bottom"/>
          </w:tcPr>
          <w:p>
            <w:pPr>
              <w:spacing w:after="0"/>
              <w:rPr>
                <w:sz w:val="21"/>
                <w:szCs w:val="21"/>
                <w:color w:val="auto"/>
              </w:rPr>
            </w:pPr>
          </w:p>
        </w:tc>
      </w:tr>
      <w:tr>
        <w:trPr>
          <w:trHeight w:val="20"/>
        </w:trPr>
        <w:tc>
          <w:tcPr>
            <w:tcW w:w="70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-193675</wp:posOffset>
            </wp:positionV>
            <wp:extent cx="19685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Agreements</w:t>
      </w:r>
    </w:p>
    <w:p>
      <w:pPr>
        <w:spacing w:after="0" w:line="35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 xml:space="preserve">The Company has entered into certain collaboration and license agreements, including those identified in Note 3, </w:t>
      </w:r>
      <w:r>
        <w:rPr>
          <w:rFonts w:ascii="Arial" w:cs="Arial" w:eastAsia="Arial" w:hAnsi="Arial"/>
          <w:sz w:val="18"/>
          <w:szCs w:val="18"/>
          <w:i w:val="1"/>
          <w:iCs w:val="1"/>
          <w:color w:val="auto"/>
        </w:rPr>
        <w:t>Collaboration, License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Success Payment Agreements </w:t>
      </w:r>
      <w:r>
        <w:rPr>
          <w:rFonts w:ascii="Arial" w:cs="Arial" w:eastAsia="Arial" w:hAnsi="Arial"/>
          <w:sz w:val="18"/>
          <w:szCs w:val="18"/>
          <w:color w:val="auto"/>
        </w:rPr>
        <w:t>above, with third parties that include the funding of certain development, manufacturing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efforts with the potential for future milestone and royalty payments upon the achievement of pre-established developmental, regulatory and/or commercial milestones. The Company’s obligation to fund these efforts is contingent upon continued involvement in the programs and/or the lack of any adverse events which could cause the discontinuance of the programs. Due to the nature of these agreements, the future potential payments are inherently uncertain, and accordingly no amounts had been recorded for the potential future achievement of these targets as of June 30, 2021 and December 31, 2020.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36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The Company is party to the GSK Agreement with GSK, who is a holder of more than 10% of the Company’s equity. See Note 3, </w:t>
      </w:r>
      <w:r>
        <w:rPr>
          <w:rFonts w:ascii="Arial" w:cs="Arial" w:eastAsia="Arial" w:hAnsi="Arial"/>
          <w:sz w:val="18"/>
          <w:szCs w:val="18"/>
          <w:i w:val="1"/>
          <w:iCs w:val="1"/>
          <w:color w:val="auto"/>
        </w:rPr>
        <w:t>Collaboration, License and Success Payment Agreements</w:t>
      </w:r>
      <w:r>
        <w:rPr>
          <w:rFonts w:ascii="Arial" w:cs="Arial" w:eastAsia="Arial" w:hAnsi="Arial"/>
          <w:sz w:val="18"/>
          <w:szCs w:val="18"/>
          <w:color w:val="auto"/>
        </w:rPr>
        <w:t>. Deferred revenue of $8.2 million and $6.1 million as of June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respectively, and deferred revenue, net of current portion of $81.9 million and $89.1 million as of June 30, 2021 and December 31, 2020, respectively, was in connection with the GSK Agreement. Revenue recognized in connection with the GSK agreement was $2.6 million and $3.1 million for the three months ended</w:t>
      </w: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June 30, 2021 and 2020, respectively, and $5.1 million and $4.4 million for the six months ended June 30, 2021 and 2020, respectively.</w:t>
      </w:r>
    </w:p>
    <w:p>
      <w:pPr>
        <w:spacing w:after="0" w:line="34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In March 2020, the Company repurchased 546,806 shares of its Series A convertible preferred stock and 2,032,166 shares of its common stock from a related party. See Note 8, </w:t>
      </w:r>
      <w:r>
        <w:rPr>
          <w:rFonts w:ascii="Arial" w:cs="Arial" w:eastAsia="Arial" w:hAnsi="Arial"/>
          <w:sz w:val="18"/>
          <w:szCs w:val="18"/>
          <w:i w:val="1"/>
          <w:iCs w:val="1"/>
          <w:color w:val="auto"/>
        </w:rPr>
        <w:t>Convertible Preferred Stock</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Stockholders' Equity</w:t>
      </w:r>
      <w:r>
        <w:rPr>
          <w:rFonts w:ascii="Arial" w:cs="Arial" w:eastAsia="Arial" w:hAnsi="Arial"/>
          <w:sz w:val="18"/>
          <w:szCs w:val="18"/>
          <w:color w:val="auto"/>
        </w:rPr>
        <w:t>.</w:t>
      </w:r>
    </w:p>
    <w:p>
      <w:pPr>
        <w:jc w:val="center"/>
        <w:ind w:right="-2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706" w:right="6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51"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the related notes included elsewhere in this Quarterly Report on Form 10-Q. This discussion and analysis and other parts of this Quarterly Report on Form 10-Q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“Risk Factors” in Part II, Item 1A of this Quarterly Report on Form 10-Q. See also the section titled “Special Note Regarding Forward-Looking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69"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We are a T cell reprogramming company dedicated to the mastery of T cells to cure patients with solid tumors. We have assembled a world-class team, comprising some of the foremost scientific leaders in the fields of oncology and ACT, including Drs. Rick Klausner, Nick Restifo, Stan Riddell and Crystal Mackall, who have each interrogated and elucidated the mechanisms of T cell biology and its interactions with cancer for decades. We believe the key to effective cell therapy is the mastery of the identity, fate and function of cells to create living medicines. We take a systematic, interrogative, cell biology-driven approach to overcome what we view as the two major barriers to successful ACT – (1) T cell exhaustion and (2) lack of durable stemness – through the application of our proprietary epigenetic and genetic reprogramming technology platforms, Gen-R and Epi-R. Our technology platforms are designed to be applied in a target and modality agnostic manner to CAR, TIL and TCR therapies to fundamentally improve the properties of T cells needed to eradicate solid tumors. We believe our autologous T cell therapies will generate improved, durable clinical outcomes that are potentially curative for patients with solid tumors.</w:t>
      </w:r>
    </w:p>
    <w:p>
      <w:pPr>
        <w:spacing w:after="0" w:line="31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are utilizing our Gen-R and Epi-R technology platforms to develop a multi-modality product pipeline across several solid tumor indications with high unmet needs and anticipate having four IND submissions by the end of 2022. Each of our programs provide opportunities to expand into additional indications beyond the patient populations we are initially targeting. Our product candidates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191135</wp:posOffset>
            </wp:positionV>
            <wp:extent cx="6172200" cy="2674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7220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were incorporated in June 2018. Our primary activities to date have included developing T cell therapies, performing research and development, acquiring technology, entering into strategic collaboration and license agreements, enabling manufacturing activities in support of our product candidate development efforts, organizing and staffing the company, business planning, establishing our intellectual property portfolio, raising capital and providing general and administrative</w:t>
      </w: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line="268" w:lineRule="auto"/>
        <w:rPr>
          <w:sz w:val="20"/>
          <w:szCs w:val="20"/>
          <w:color w:val="auto"/>
        </w:rPr>
      </w:pPr>
      <w:r>
        <w:rPr>
          <w:rFonts w:ascii="Arial" w:cs="Arial" w:eastAsia="Arial" w:hAnsi="Arial"/>
          <w:sz w:val="18"/>
          <w:szCs w:val="18"/>
          <w:color w:val="auto"/>
        </w:rPr>
        <w:t>support for these activities. All of our programs are currently in preclinical development, and we have not yet tested any product candidates in humans and do not have any products approved for sale. Since our inception, we have incurred net losses each year. Our net losses were $62.6 million and $100.7 million for the three months ended June 30, 2021 and 2020, respectively, and $117.6 million and $129.9 million for the six months ended June 30, 2021 and 2020, respectively. As of June 30, 2021, we had an accumulated deficit of $451.8 million. Our net losses resulted primarily from our research and development programs and, to a lesser extent, general and administrative costs associated with our operations.</w:t>
      </w:r>
    </w:p>
    <w:p>
      <w:pPr>
        <w:spacing w:after="0" w:line="31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To date, we have funded our operations primarily from the issuance and sale of our convertible preferred stock in connection with private financings, the issuance and sale of our common stock in connection with our initial public offering (IPO) and to a lesser extent from a collaboration agreement, and we have not generated any revenue from product sales. From June 29, 2018 (inception) through June 30, 2021, we raised an aggregate of $1,405.7 million in gross proceeds from the sales of our convertible preferred stock in connection with private preferred stock financings and our common stock in connection with our IPO. As of June 30, 2021, we had cash, cash equivalents and marketable securities of $974.8 million. Based on our current operating plan, we believe that our existing cash, cash equivalents and marketable securities will be sufficient to meet our working capital and capital expenditure needs into 2025.</w:t>
      </w:r>
    </w:p>
    <w:p>
      <w:pPr>
        <w:spacing w:after="0" w:line="31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anticipate that our expenses and operating losses will increase substantially over the foreseeable future. The expected increase in expenses will be driven in large part by our ongoing activities, if and as we:</w:t>
      </w:r>
    </w:p>
    <w:p>
      <w:pPr>
        <w:spacing w:after="0" w:line="305" w:lineRule="exact"/>
        <w:rPr>
          <w:sz w:val="20"/>
          <w:szCs w:val="20"/>
          <w:color w:val="auto"/>
        </w:rPr>
      </w:pPr>
    </w:p>
    <w:p>
      <w:pPr>
        <w:ind w:left="900" w:hanging="14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preclinical development of our current and future product candidates and initiate additional preclinical studies;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commence clinical trials of our current and future product candidates;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our Gen-R, Epi-R and cell rejuvenation technology platforms as well as other research and development efforts;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 of our current and future product candidates;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manufacturing and process development capabilities;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and license technology platforms;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develop, protect and defend our intellectual property portfolio; and</w:t>
      </w:r>
    </w:p>
    <w:p>
      <w:pPr>
        <w:spacing w:after="0" w:line="346" w:lineRule="exact"/>
        <w:rPr>
          <w:rFonts w:ascii="Arial" w:cs="Arial" w:eastAsia="Arial" w:hAnsi="Arial"/>
          <w:sz w:val="18"/>
          <w:szCs w:val="18"/>
          <w:color w:val="auto"/>
        </w:rPr>
      </w:pPr>
    </w:p>
    <w:p>
      <w:pPr>
        <w:ind w:left="900" w:right="460" w:hanging="14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it is critically important to own, control and continuously monitor all aspects of the cell therapy manufacturing process in order to mitigate risks the field has seen, including challenges in managing production, supply chain, patient specimen chain of custody and quality control. We made a strategic decision to invest substantial capital in building our own manufacturing facility to control our supply chain, maximize efficiencies in cell product production time, cost and quality and have the ability to rapidly incorporate disruptive advancements and new innovations. Controlling manufacturing also enables us to protect proprietary aspects of our Gen-R and Epi-R technology platforms. We view our manufacturing team and capabilities as a significant competitive advantage.</w:t>
      </w:r>
    </w:p>
    <w:p>
      <w:pPr>
        <w:spacing w:after="0" w:line="314"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In 2019, we entered into two operating lease agreements for a combined approximately 73,000 square feet of space to develop a cell therapy manufacturing facility located in Bothell, Washington. This LyFE manufacturing center has a flexible</w:t>
      </w: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5" w:name="page26"/>
    <w:bookmarkEnd w:id="25"/>
    <w:p>
      <w:pPr>
        <w:ind w:right="120"/>
        <w:spacing w:after="0" w:line="268" w:lineRule="auto"/>
        <w:rPr>
          <w:sz w:val="20"/>
          <w:szCs w:val="20"/>
          <w:color w:val="auto"/>
        </w:rPr>
      </w:pPr>
      <w:r>
        <w:rPr>
          <w:rFonts w:ascii="Arial" w:cs="Arial" w:eastAsia="Arial" w:hAnsi="Arial"/>
          <w:sz w:val="18"/>
          <w:szCs w:val="18"/>
          <w:color w:val="auto"/>
        </w:rPr>
        <w:t>and modular design allowing us to produce plasmid, viral vector and T cell product to control and de-risk the sequence and timing of production of the major components of our supply chain related to our product candidates. At full staffing and capacity, we expect to be able to manufacture approximately 500 infusions per year depending on product candidate mix. We believe this capacity is sufficient to support our pipeline programs through pivotal trials and, if approved, early commercialization. We have achieved operational readiness of our LyFE manufacturing center and we have successfully completed engineering runs at scale to supply product for our upcoming clinical trials. We anticipate the facility to be cGMP qualified by the end of 2021. We anticipate continued investment in our manufacturing facility and capabilities to support our operating strategy.</w:t>
      </w:r>
    </w:p>
    <w:p>
      <w:pPr>
        <w:spacing w:after="0" w:line="31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global COVID-19 pandemic continues to evolve rapidly, and we will continue to monitor it closely. The extent of the impact of the COVID-19 pandemic on our business, operations and development timelines and plans remains uncertain and will depend on future developments that cannot be predicted at this time. Such developments include the continued spread of the Delta variant in the U.S. and other countries and the potential emergence of other SARS-CoV-2 variants that may prove especially contagious or virulent, the ultimate duration of the pandemic and the resulting impact on our clinical trial plans, CROs, contract manufacturing organizations and other third parties with whom we do business, as well as its impact on regulatory authorities and our key scientific and management personnel, and the effectiveness of actions taken globally to contain and treat the disease, including the rate at which vaccinations are made available, the percentage of the population that becomes vaccinated and the effectiveness of the vaccines against Delta or other SARS-CoV-2 variants. While the implications of the COVID-19 pandemic on our operations remain uncertain, to date, we have not experienced delays in our discovery and development activities as a result of the COVID-19 pandemic. We have closely monitored the COVID-19 pandemic and have strived to follow recommended containment and mitigation measures, including the guidance from the Centers for Disease Control and Prevention (CDC) as well as the states of California and Washington and applicable counties. For most of the pandemic, essential laboratory and support employees worked in our facilities to continue and progress experiments. We implemented preventative measures at our facilities in order to minimize the risk of employee exposure to the virus, including requiring that each employee who enters a facility agree to comply with social distancing, frequent hand washing and that each employee wear masks. We also increased cleaning of high touch areas and provided hand sanitizing stations. We expect to continue such measures for the near foreseeable future. We will continue to actively monitor the situation related to the COVID-19 pandemic and may take further actions that alter our operations, including those that may be required by federal, state, or local authorities, or that we determine are in the best interests of our employees and other third parties with whom we do business. Certain designated non-essential individuals have returned to our Seattle and Bothell sites.</w:t>
      </w:r>
    </w:p>
    <w:p>
      <w:pPr>
        <w:spacing w:after="0" w:line="3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registration statement on Form S-1 related to our IPO was declared effective on June 16, 2021, and our common stock began trading on the Nasdaq Global Select Market on June 17, 2021. On June 21, 2021, we issued and sold 25,000,000 shares of common stock at an IPO price of $17.00 per share. We received $391.8 million in net proceeds, after deducting underwriting discounts and commissions of $29.8 million and offering expenses of $3.4 million. At the closing of the IPO, 194,474,431 shares of convertible preferred stock then outstanding converted into an equivalent number of shares of common stock.</w:t>
      </w:r>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anticipate that we will need to raise additional capital in the future to fund our operations, including the further development of our product candidates and commercialization of any approved product candidates. Until such time, if ever, as we can generate significant product revenue, we expect to finance our operations with our existing cash, cash equivalents and marketable securities,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License and Success Payment Agreements</w:t>
      </w:r>
    </w:p>
    <w:p>
      <w:pPr>
        <w:spacing w:after="0" w:line="369"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Below is a summary of the key terms for certain of our collaboration and license agreements. For a more detailed description of these and our other collaboration, license and success payment agreements, see the section titled “Business—Collaboration, License and Success Payment Agreements” in the report filed with the Securities and Exchange Commission (SEC) pursuant to Rule 424(b)(4) under the Securities Act of 1933, as amended (Securities Act) on June 21, 2021 (Prospectus), and Note 3 of the notes to unaudited condensed consolidated financial statements included under Part I, Item 1 of this Quarterly Report on Form 10-Q.</w:t>
      </w: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Fred Hutch</w:t>
      </w:r>
    </w:p>
    <w:p>
      <w:pPr>
        <w:spacing w:after="0" w:line="3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December 2018, we entered into an exclusive license agreement with Fred Hutch to access certain intellectual property for the development of CARs and TCRs. In connection with this agreement, we paid $150,000 in cash and issued to Fred Hutch 1,075,000 shares of our common stock for total consideration of $0.8 million.</w:t>
      </w: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December 2018, we entered into a research and collaboration agreement with Fred Hutch for the development of cellular immunotherapy products. Pursuant to this agreement, we are required to fund $12.0 million in research performed by Fred Hutch, and we recorded research and development expense of $1.0 million for both the three months ended June 30, 2021 and 2020, respectively, and $2.0 million for both the six months ended June 30, 2021 and 2020, respectively.</w:t>
      </w:r>
    </w:p>
    <w:p>
      <w:pPr>
        <w:spacing w:after="0" w:line="314"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We also entered into a letter agreement with Fred Hutch in December 2018, pursuant to which we may be required to make success payments (Fred Hutch Success Payments) up to an aggregate of $200.0 million based on increases in the fair market value of our Series A convertible preferred stock, or any security into which such stock has been converted or exchanged. All shares of Series A convertible preferred stock converted into shares of common stock upon the closing of our IPO. The potential Fred Hutch Success Payments are based on multiples of increased value ranging from 10x to 50x based on a comparison of the fair value of the Company's common stock relative to the original issuance price of $1.83 at pre-determined valuation measurement dates. The Fred Hutch Success Payments can be achieved over a maximum of nine years from the effective date of the agreement. The following table summarizes the potential success payments, which are payable in cash, cash equivalents or, at our discretion, publicly-tradeable shares of our common stock:</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100" w:type="dxa"/>
            <w:vAlign w:val="bottom"/>
          </w:tcPr>
          <w:p>
            <w:pPr>
              <w:ind w:left="20"/>
              <w:spacing w:after="0"/>
              <w:rPr>
                <w:sz w:val="20"/>
                <w:szCs w:val="20"/>
                <w:color w:val="auto"/>
              </w:rPr>
            </w:pPr>
            <w:r>
              <w:rPr>
                <w:rFonts w:ascii="Arial" w:cs="Arial" w:eastAsia="Arial" w:hAnsi="Arial"/>
                <w:sz w:val="18"/>
                <w:szCs w:val="18"/>
                <w:color w:val="auto"/>
              </w:rPr>
              <w:t>Multiple of initial equity value at issuance</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10x</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20x</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30x</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40x</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50x</w:t>
            </w:r>
          </w:p>
        </w:tc>
        <w:tc>
          <w:tcPr>
            <w:tcW w:w="100" w:type="dxa"/>
            <w:vAlign w:val="bottom"/>
          </w:tcPr>
          <w:p>
            <w:pPr>
              <w:spacing w:after="0"/>
              <w:rPr>
                <w:sz w:val="19"/>
                <w:szCs w:val="19"/>
                <w:color w:val="auto"/>
              </w:rPr>
            </w:pPr>
          </w:p>
        </w:tc>
      </w:tr>
      <w:tr>
        <w:trPr>
          <w:trHeight w:val="256"/>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 share common stock price required for payment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w:t>
            </w:r>
          </w:p>
        </w:tc>
        <w:tc>
          <w:tcPr>
            <w:tcW w:w="100" w:type="dxa"/>
            <w:vAlign w:val="bottom"/>
            <w:shd w:val="clear" w:color="auto" w:fill="CFF0FC"/>
          </w:tcPr>
          <w:p>
            <w:pPr>
              <w:spacing w:after="0"/>
              <w:rPr>
                <w:sz w:val="22"/>
                <w:szCs w:val="22"/>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Aggregate success payment(s) (in millions)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The valuation measurement dates are triggered by the following events: the one-year anniversary of our IPO and each two-year anniversary of our IPO thereafter, the closing of a change in control transaction, and the last day of the term of the success payment agreement, unless the term has ended due to the closing of a change of control transaction.</w:t>
      </w:r>
    </w:p>
    <w:p>
      <w:pPr>
        <w:spacing w:after="0" w:line="311"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estimated fair value of the Fred Hutch Success Payments as of June 30, 2021 and December 31, 2020 was $24.9 million and $8.0 million, respectively. With respect to Fred Hutch Success Payments, we recognized expense of $6.9 million and $0.5 million for the three months ended June 30, 2021 and 2020, respectively, and $15.0 million and $2.6 million for the six months ended June 30, 2021 and 2020,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Stanford</w:t>
      </w:r>
    </w:p>
    <w:p>
      <w:pPr>
        <w:spacing w:after="0" w:line="3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January 2019, we entered into an exclusive license agreement with Stanford to access certain intellectual property for the development of CARs and TCRs. In connection with this agreement, we paid $400,000 in cash and issued Stanford 910,000 shares of our common stock, for total consideration of $3.0 million, which was recorded as research and development expense for the year ended December 31, 2019. We are also required to pay Stanford an annual maintenance fee on the second anniversary of the agreement date, and each anniversary thereafter until the date of the first commercial sale of a licensed product. Under the agreement, we may also be required to make certain pre-specified development milestone payments up to an aggregate of $3.7 million for the first licensed product for each target, and pre-specified commercial milestone payments up to an aggregate of $2.5 million for all licensed products.</w:t>
      </w:r>
    </w:p>
    <w:p>
      <w:pPr>
        <w:spacing w:after="0" w:line="3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October 2020, we entered into a research and collaboration agreement with Stanford for the development of cellular immunotherapy products. Pursuant to this agreement, we are required to fund $12.0 million in research performed by Stanford, and we recorded research and development expense of $0.8 million for the three months ended June 30, 2021 and $1.5 million for the six months ended June 30, 2021. There was no expense recorded associated with the research and collaboration agreement with Stanford for the three and six months ended June 30, 2020.</w:t>
      </w:r>
    </w:p>
    <w:p>
      <w:pPr>
        <w:spacing w:after="0" w:line="316"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color w:val="auto"/>
        </w:rPr>
        <w:t>We also entered into a letter agreement with Stanford in October 2020, pursuant to which we may be required to make success payments (Stanford Success Payments) up to an aggregate of $200.0 million based on increases in the fair market value of our Series A convertible preferred stock, or any security into which such stock has been converted or</w:t>
      </w: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ind w:right="200"/>
        <w:spacing w:after="0" w:line="268" w:lineRule="auto"/>
        <w:rPr>
          <w:sz w:val="20"/>
          <w:szCs w:val="20"/>
          <w:color w:val="auto"/>
        </w:rPr>
      </w:pPr>
      <w:r>
        <w:rPr>
          <w:rFonts w:ascii="Arial" w:cs="Arial" w:eastAsia="Arial" w:hAnsi="Arial"/>
          <w:sz w:val="18"/>
          <w:szCs w:val="18"/>
          <w:color w:val="auto"/>
        </w:rPr>
        <w:t>exchanged. All shares of Series A convertible preferred stock converted into shares of common stock upon the closing of our IPO. The potential Stanford Success Payments are based on multiples of increased value ranging from 10x to 50x based on a comparison of the fair value of the Company's common stock relative to the original issuance price of $1.83 at pre-determined valuation measurement dates. The Stanford Success Payments can be achieved over a maximum of nine years from the effective date of the agreement. The following table summarizes the potential success payments, which are payable in cash, cash equivalents or, at our discretion, publicly-tradeable shares of our common stock:</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100" w:type="dxa"/>
            <w:vAlign w:val="bottom"/>
          </w:tcPr>
          <w:p>
            <w:pPr>
              <w:ind w:left="20"/>
              <w:spacing w:after="0"/>
              <w:rPr>
                <w:sz w:val="20"/>
                <w:szCs w:val="20"/>
                <w:color w:val="auto"/>
              </w:rPr>
            </w:pPr>
            <w:r>
              <w:rPr>
                <w:rFonts w:ascii="Arial" w:cs="Arial" w:eastAsia="Arial" w:hAnsi="Arial"/>
                <w:sz w:val="18"/>
                <w:szCs w:val="18"/>
                <w:color w:val="auto"/>
              </w:rPr>
              <w:t>Multiple of initial equity value at issuance</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10x</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20x</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30x</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40x</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50x</w:t>
            </w:r>
          </w:p>
        </w:tc>
        <w:tc>
          <w:tcPr>
            <w:tcW w:w="100" w:type="dxa"/>
            <w:vAlign w:val="bottom"/>
          </w:tcPr>
          <w:p>
            <w:pPr>
              <w:spacing w:after="0"/>
              <w:rPr>
                <w:sz w:val="19"/>
                <w:szCs w:val="19"/>
                <w:color w:val="auto"/>
              </w:rPr>
            </w:pPr>
          </w:p>
        </w:tc>
      </w:tr>
      <w:tr>
        <w:trPr>
          <w:trHeight w:val="257"/>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 share common stock price required for payment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w:t>
            </w:r>
          </w:p>
        </w:tc>
        <w:tc>
          <w:tcPr>
            <w:tcW w:w="100" w:type="dxa"/>
            <w:vAlign w:val="bottom"/>
            <w:shd w:val="clear" w:color="auto" w:fill="CFF0FC"/>
          </w:tcPr>
          <w:p>
            <w:pPr>
              <w:spacing w:after="0"/>
              <w:rPr>
                <w:sz w:val="22"/>
                <w:szCs w:val="22"/>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Aggregate success payment(s) (in millions)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The valuation measurement dates are triggered by the following events: the one-year anniversary of our IPO and each two-year anniversary of our IPO thereafter, the closing of a change in control transaction, and the last day of the term of the success payment agreement, unless the term has ended due to the closing of a change of control transaction.</w:t>
      </w:r>
    </w:p>
    <w:p>
      <w:pPr>
        <w:spacing w:after="0" w:line="311" w:lineRule="exact"/>
        <w:rPr>
          <w:sz w:val="20"/>
          <w:szCs w:val="20"/>
          <w:color w:val="auto"/>
        </w:rPr>
      </w:pPr>
    </w:p>
    <w:p>
      <w:pPr>
        <w:jc w:val="both"/>
        <w:ind w:right="100"/>
        <w:spacing w:after="0" w:line="269" w:lineRule="auto"/>
        <w:rPr>
          <w:sz w:val="20"/>
          <w:szCs w:val="20"/>
          <w:color w:val="auto"/>
        </w:rPr>
      </w:pPr>
      <w:r>
        <w:rPr>
          <w:rFonts w:ascii="Arial" w:cs="Arial" w:eastAsia="Arial" w:hAnsi="Arial"/>
          <w:sz w:val="18"/>
          <w:szCs w:val="18"/>
          <w:color w:val="auto"/>
        </w:rPr>
        <w:t>The estimated fair value of the Stanford Success Payments as of June 30, 2021 and December 31, 2020 was $25.8 million and $8.9 million, respectively. With respect to Stanford Success Payments, we recognized expense of $2.4 million for the three months ended June 30, 2021 and $4.3 million for the six months ended June 30, 2021. There was no expense recorded associated with the Stanford Success Payments for the three and six months ended June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GSK Collaboration Agreement</w:t>
      </w:r>
    </w:p>
    <w:p>
      <w:pPr>
        <w:spacing w:after="0" w:line="3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In May 2019, we entered into a collaboration agreement with GSK, amended in June 2020 (the GSK Agreement), for potential T cell therapies that apply our platform technologies and cell therapy innovations to TCRs or CARs under distinct collaboration programs. Pursuant to the GSK Agreement, we received an upfront payment of $45.0 million which was recorded as deferred revenue and revenue is recognized as the research and development services are rendered. For potential TCR or CAR therapies that are the subject of a collaboration program under the GSK Agreement, we are responsible for certain research and development activities, at our cost, up to GSK’s option point. These are expensed as research and development as incurred. Generally, each party is responsible for its own cost and expense to conduct each collaboration program. In April 2021, GSK exercised its option to the NY-ESO-1 TCR with Gen-R program and GSK will assume responsibility for future research and development of this program at its cost and expense. We are eligible to receive up to two one-time payments, totaling approximately $200.0 million in aggregate, for technology validation of Lyell’s cell therapy innovations. For each cell therapy target for which there has been a joint collaboration program, we also could receive up to approximately $400.0 million in aggregate in development and sales milestones for a target that is already within GSK’s pipeline and meets certain criteria, up to approximately $900.0 million in aggregate in development and sales milestones for all other targets, and tiered royalties on a per-product basis ranging from low to high single digits for targets that are already within GSK’s pipeline and meet certain criteria, or from high single digit to low teens for all other targets. Royalties and milestones are paid once per target, even if there is more than one Lyell innovation applied to a T cell therapy directed to that target.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NCI License Agreement</w:t>
      </w:r>
    </w:p>
    <w:p>
      <w:pPr>
        <w:spacing w:after="0" w:line="36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In December 2020, we entered into a license agreement with NCI to access certain intellectual property for the development of treatment of human cancers. In connection with this agreement, we paid $100,000 upfront, and a prorated annual maintenance payment for 2020 of approximately $3,100, for total consideration of approximately $103,100, which was recorded in research and development expense for the year ended December 31, 2020. We are also required to pay NCI annual maintenance payments which may be credited against earned royalties. Under the agreement, we may also be required to make certain prespecified development milestone payments up to an aggregate of $3.1 million, and pre-specified commercial milestone payments up to a maximum aggregate of $12.0 million for all licensed products. In June 2021 we entered into an amendment to the license agreement with NCI to include additional intellectual property and one additional inventor. In connection with this amendment, we paid $25,000 upfront, which was recorded in research and development expense. Under the amendment, we may also be required to pay prespecified additional development milestone payments of $75,000.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We have no products approved for sale and have never generated any revenue from product sales.</w:t>
      </w:r>
    </w:p>
    <w:p>
      <w:pPr>
        <w:spacing w:after="0" w:line="347"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color w:val="auto"/>
        </w:rPr>
        <w:t>To date, we have generated revenue primarily from the recognition of a portion of the upfront payment under the GSK Agreement that we entered into in May 2019. As we continue to conduct research under the GSK Agreement, we will recognize revenue based upon our estimate of the progress made as well as potential future license revenue. In the future, we may generate additional revenue from other collaborations, strategic alliances, licensing agreements, product sales, or a combination of these.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3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date, research and development expenses consist of costs incurred by us for the discovery and development of our technology platforms and product candidates and includes costs incurred in connection with strategic collaborations, costs to license technology, personnel-related costs, including stock-based compensation expense, facility and technology related costs, research and laboratory expenses, as well as other expenses, which include consulting fees and other costs. Upfront payments and milestones paid to third parties in connection with technology platforms which have not reached technological feasibility and do not have an alternative future use are expensed as incurred.</w:t>
      </w:r>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Research and development expenses also include non-cash expense related to the change in the estimated fair value of the liabilities associated with our success payments granted to Fred Hutch and Stanford. See the subsection titled “—Critical Accounting Policies and Significant Judgments and Estimates—Success Payments” included in the Prospectus. Research and development expenses related to our success payment liabilities are unpredictable and may vary significantly from quarter to quarter and year to year due to changes in our assumptions used in the calculation.</w:t>
      </w:r>
    </w:p>
    <w:p>
      <w:pPr>
        <w:spacing w:after="0" w:line="316"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We deploy our employee and infrastructure resources across multiple research and development programs for identifying and developing product candidates and establishing manufacturing capabilities. Due to the stage of development and number of ongoing programs and our ability to use resources across several programs, most of our research and development costs are not recorded on a program-specific basis. These include costs for personnel, laboratory and other indirect facility and operating costs.</w:t>
      </w:r>
    </w:p>
    <w:p>
      <w:pPr>
        <w:spacing w:after="0" w:line="31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over the foreseeable future as we expand our research and development efforts including completing preclinical studies, commencing clinical trials, completing clinical trials, seeking regulatory approval of our product candidates, identifying new product candidates, and incurring costs to acquire and license technology platforms. A change in the outcome of any of these variables could mean a significant change in the costs and timing associated with the development of our product candidates. Because all of our product candidates are still in preclinical development and the outcome of these efforts is uncertain, we cannot estimate the actual amounts necessary to successfully complete the preclinical development, clinical development and commercialization of product candidates or whether, or when, we may achieve profitability.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expenses may vary significantly based on factors such as:</w:t>
      </w:r>
    </w:p>
    <w:p>
      <w:pPr>
        <w:spacing w:after="0" w:line="347" w:lineRule="exact"/>
        <w:rPr>
          <w:sz w:val="20"/>
          <w:szCs w:val="20"/>
          <w:color w:val="auto"/>
        </w:rPr>
      </w:pPr>
    </w:p>
    <w:p>
      <w:pPr>
        <w:ind w:left="900" w:hanging="1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left="900" w:hanging="1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phase of development of our product candidates;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establish additional collaboration or license agreements; and</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choose to partner any of our product candidates and the terms of such partnership.</w:t>
      </w:r>
    </w:p>
    <w:p>
      <w:pPr>
        <w:spacing w:after="0" w:line="347" w:lineRule="exact"/>
        <w:rPr>
          <w:sz w:val="20"/>
          <w:szCs w:val="20"/>
          <w:color w:val="auto"/>
        </w:rPr>
      </w:pPr>
    </w:p>
    <w:p>
      <w:pPr>
        <w:jc w:val="both"/>
        <w:ind w:right="400"/>
        <w:spacing w:after="0" w:line="271"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 We may never succeed in obtaining regulatory approval for any of our product candidates. We may obtain unexpected results from our preclinical studies and future clinical trials.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36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General and administrative costs include personnel-related expenses, including stock-based compensation expense, for personnel in executive, legal, finance and other administrative functions, legal costs, transaction costs related to collaboration and licensing agreements, as well as fees paid for accounting and tax services, consulting fees and facilities costs not otherwise included in research and development expenses. Legal costs include those related to corporate and patent matters.</w:t>
      </w:r>
    </w:p>
    <w:p>
      <w:pPr>
        <w:spacing w:after="0" w:line="31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 such as costs related to accounting, audit, legal, regulatory and tax-related services associated with maintaining compliance with exchange listing and SEC requirements, director and officer insurance costs and investor and public relations costs.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 Net</w:t>
      </w:r>
    </w:p>
    <w:p>
      <w:pPr>
        <w:spacing w:after="0" w:line="36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Other operating income, net, consists primarily of service and occupancy fees received associated with subleases as well as losses on the sales of property and equipment.</w:t>
      </w: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06"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Interest Income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earned on our cash, cash equivalents and marketable securities balance.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net, consists primarily of changes in the fair value of an equity warrant investment held.</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Dividends Upon Repurchase of Convertible Preferred Stock</w:t>
      </w:r>
    </w:p>
    <w:p>
      <w:pPr>
        <w:spacing w:after="0" w:line="3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six months ended June 30, 2020, deemed dividends upon repurchase of convertible preferred stock consists of the amount by which the cash paid for the repurchase of convertible preferred stock exceeded the carrying value of such convertible preferred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presented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424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36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(490 )</w:t>
            </w: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46,446</w:t>
            </w:r>
          </w:p>
        </w:tc>
        <w:tc>
          <w:tcPr>
            <w:tcW w:w="3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97,152</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(50,706 )</w:t>
            </w:r>
          </w:p>
        </w:tc>
        <w:tc>
          <w:tcPr>
            <w:tcW w:w="0" w:type="dxa"/>
            <w:vAlign w:val="bottom"/>
          </w:tcPr>
          <w:p>
            <w:pPr>
              <w:spacing w:after="0"/>
              <w:rPr>
                <w:sz w:val="1"/>
                <w:szCs w:val="1"/>
                <w:color w:val="auto"/>
              </w:rPr>
            </w:pPr>
          </w:p>
        </w:tc>
      </w:tr>
      <w:tr>
        <w:trPr>
          <w:trHeight w:val="250"/>
        </w:trPr>
        <w:tc>
          <w:tcPr>
            <w:tcW w:w="51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19,112</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9,562</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operating income, net</w:t>
            </w:r>
          </w:p>
        </w:tc>
        <w:tc>
          <w:tcPr>
            <w:tcW w:w="11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(223 )</w:t>
            </w:r>
          </w:p>
        </w:tc>
        <w:tc>
          <w:tcPr>
            <w:tcW w:w="38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(1,030 )</w:t>
            </w:r>
          </w:p>
        </w:tc>
        <w:tc>
          <w:tcPr>
            <w:tcW w:w="3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65,335</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105,684</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(40,349 )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1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(62,707 )</w:t>
            </w:r>
          </w:p>
        </w:tc>
        <w:tc>
          <w:tcPr>
            <w:tcW w:w="38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(102,566 )</w:t>
            </w:r>
          </w:p>
        </w:tc>
        <w:tc>
          <w:tcPr>
            <w:tcW w:w="3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1,881</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(1,663 )</w:t>
            </w:r>
          </w:p>
        </w:tc>
        <w:tc>
          <w:tcPr>
            <w:tcW w:w="0" w:type="dxa"/>
            <w:vAlign w:val="bottom"/>
          </w:tcPr>
          <w:p>
            <w:pPr>
              <w:spacing w:after="0"/>
              <w:rPr>
                <w:sz w:val="1"/>
                <w:szCs w:val="1"/>
                <w:color w:val="auto"/>
              </w:rPr>
            </w:pPr>
          </w:p>
        </w:tc>
      </w:tr>
      <w:tr>
        <w:trPr>
          <w:trHeight w:val="25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 net</w:t>
            </w:r>
          </w:p>
        </w:tc>
        <w:tc>
          <w:tcPr>
            <w:tcW w:w="11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(106 )</w:t>
            </w:r>
          </w:p>
        </w:tc>
        <w:tc>
          <w:tcPr>
            <w:tcW w:w="3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Net loss and net loss attributed to common</w:t>
            </w:r>
          </w:p>
        </w:tc>
        <w:tc>
          <w:tcPr>
            <w:tcW w:w="1140" w:type="dxa"/>
            <w:vAlign w:val="bottom"/>
            <w:vMerge w:val="restart"/>
          </w:tcPr>
          <w:p>
            <w:pPr>
              <w:jc w:val="right"/>
              <w:ind w:right="930"/>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9"/>
              </w:rPr>
              <w:t>(62,595 )</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(100,656 )</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38,061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320"/>
              <w:spacing w:after="0" w:line="202" w:lineRule="exact"/>
              <w:rPr>
                <w:sz w:val="20"/>
                <w:szCs w:val="20"/>
                <w:color w:val="auto"/>
              </w:rPr>
            </w:pPr>
            <w:r>
              <w:rPr>
                <w:rFonts w:ascii="Arial" w:cs="Arial" w:eastAsia="Arial" w:hAnsi="Arial"/>
                <w:sz w:val="18"/>
                <w:szCs w:val="18"/>
                <w:color w:val="auto"/>
              </w:rPr>
              <w:t>stockholders</w:t>
            </w:r>
          </w:p>
        </w:tc>
        <w:tc>
          <w:tcPr>
            <w:tcW w:w="114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-982345</wp:posOffset>
            </wp:positionV>
            <wp:extent cx="22288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-982345</wp:posOffset>
            </wp:positionV>
            <wp:extent cx="2057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-982345</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-313690</wp:posOffset>
            </wp:positionV>
            <wp:extent cx="22288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-313690</wp:posOffset>
            </wp:positionV>
            <wp:extent cx="2057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wp:posOffset>
            </wp:positionV>
            <wp:extent cx="685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36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Revenue was $2.6 million and $3.1 million for the three months ended June 30, 2021 and 2020, respectively. Revenue recognized for the three months ended June 30, 2021 and 2020 was primarily related to the recognized portion of the upfront license fee pursuant to the GSK Agreement, which was effective in July 2019. The decrease of $0.5 million is due to changes in research and development activities under the GSK Agreement for the three months ended June 30, 2021 compared to the three months ended June 30, 2020.</w:t>
      </w: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our research and development expenses for the periods presented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3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12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1"/>
                <w:szCs w:val="21"/>
                <w:color w:val="auto"/>
              </w:rPr>
            </w:pPr>
          </w:p>
        </w:tc>
      </w:tr>
      <w:tr>
        <w:trPr>
          <w:trHeight w:val="25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w:t>
            </w:r>
          </w:p>
        </w:tc>
        <w:tc>
          <w:tcPr>
            <w:tcW w:w="116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17,841</w:t>
            </w:r>
          </w:p>
        </w:tc>
        <w:tc>
          <w:tcPr>
            <w:tcW w:w="1500" w:type="dxa"/>
            <w:vAlign w:val="bottom"/>
            <w:gridSpan w:val="2"/>
            <w:shd w:val="clear" w:color="auto" w:fill="CFF0FC"/>
          </w:tcPr>
          <w:p>
            <w:pPr>
              <w:jc w:val="right"/>
              <w:ind w:right="9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14,253</w:t>
            </w:r>
          </w:p>
        </w:tc>
        <w:tc>
          <w:tcPr>
            <w:tcW w:w="6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w:t>
            </w:r>
          </w:p>
        </w:tc>
        <w:tc>
          <w:tcPr>
            <w:tcW w:w="100" w:type="dxa"/>
            <w:vAlign w:val="bottom"/>
            <w:shd w:val="clear" w:color="auto" w:fill="CFF0FC"/>
          </w:tcPr>
          <w:p>
            <w:pPr>
              <w:spacing w:after="0"/>
              <w:rPr>
                <w:sz w:val="22"/>
                <w:szCs w:val="22"/>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Facilities and technology</w:t>
            </w: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9,460</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5,328</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1"/>
                <w:szCs w:val="21"/>
                <w:color w:val="auto"/>
              </w:rPr>
            </w:pP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Success payments</w:t>
            </w:r>
          </w:p>
        </w:tc>
        <w:tc>
          <w:tcPr>
            <w:tcW w:w="11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9,266</w:t>
            </w: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8,779</w:t>
            </w:r>
          </w:p>
        </w:tc>
        <w:tc>
          <w:tcPr>
            <w:tcW w:w="100" w:type="dxa"/>
            <w:vAlign w:val="bottom"/>
            <w:shd w:val="clear" w:color="auto" w:fill="CFF0FC"/>
          </w:tcPr>
          <w:p>
            <w:pPr>
              <w:spacing w:after="0"/>
              <w:rPr>
                <w:sz w:val="22"/>
                <w:szCs w:val="22"/>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Research and laboratory</w:t>
            </w: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5,622</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4,014</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Collaborations and licenses</w:t>
            </w:r>
          </w:p>
        </w:tc>
        <w:tc>
          <w:tcPr>
            <w:tcW w:w="11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w:t>
            </w: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72,756</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(69,915 )</w:t>
            </w: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3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r>
      <w:tr>
        <w:trPr>
          <w:trHeight w:val="270"/>
        </w:trPr>
        <w:tc>
          <w:tcPr>
            <w:tcW w:w="5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46,446</w:t>
            </w:r>
          </w:p>
        </w:tc>
        <w:tc>
          <w:tcPr>
            <w:tcW w:w="360" w:type="dxa"/>
            <w:vAlign w:val="bottom"/>
            <w:shd w:val="clear" w:color="auto" w:fill="CFF0FC"/>
          </w:tcPr>
          <w:p>
            <w:pPr>
              <w:spacing w:after="0"/>
              <w:rPr>
                <w:sz w:val="23"/>
                <w:szCs w:val="23"/>
                <w:color w:val="auto"/>
              </w:rPr>
            </w:pP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97,152</w:t>
            </w:r>
          </w:p>
        </w:tc>
        <w:tc>
          <w:tcPr>
            <w:tcW w:w="32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(50,706 )</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-25400</wp:posOffset>
            </wp:positionV>
            <wp:extent cx="2228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2228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2057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2057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were $46.4 million and $97.2 million for the three months ended June 30, 2021 and 2020,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$50.7 million was primarily due to:</w:t>
      </w:r>
    </w:p>
    <w:p>
      <w:pPr>
        <w:spacing w:after="0" w:line="347" w:lineRule="exact"/>
        <w:rPr>
          <w:sz w:val="20"/>
          <w:szCs w:val="20"/>
          <w:color w:val="auto"/>
        </w:rPr>
      </w:pPr>
    </w:p>
    <w:p>
      <w:pPr>
        <w:ind w:left="900" w:right="20" w:hanging="143"/>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collaborations and licenses costs of $69.9 million, primarily due to the commitment agreement upfront payment to PACT of $63.6 million, consisting of the $50.0 million upfront payment and $13.6 million deemed to be the difference between the purchase price of the preferred stock shares we purchased from PACT and the associated value of the preferred shares, and $7.5 million in acquired in-process research and development expense related to the asset acquisition of Immulus, Inc. (Immulus), recorded for the three months ended June 30, 2020;</w:t>
      </w:r>
    </w:p>
    <w:p>
      <w:pPr>
        <w:spacing w:after="0" w:line="315" w:lineRule="exact"/>
        <w:rPr>
          <w:rFonts w:ascii="Arial" w:cs="Arial" w:eastAsia="Arial" w:hAnsi="Arial"/>
          <w:sz w:val="18"/>
          <w:szCs w:val="18"/>
          <w:color w:val="auto"/>
        </w:rPr>
      </w:pPr>
    </w:p>
    <w:p>
      <w:pPr>
        <w:ind w:left="900" w:right="80" w:hanging="14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$8.8 million associated with our Fred Hutch and Stanford success payments liabilities primarily due to the increase in the per share fair value of our common stock;</w:t>
      </w:r>
    </w:p>
    <w:p>
      <w:pPr>
        <w:spacing w:after="0" w:line="305" w:lineRule="exact"/>
        <w:rPr>
          <w:rFonts w:ascii="Arial" w:cs="Arial" w:eastAsia="Arial" w:hAnsi="Arial"/>
          <w:sz w:val="18"/>
          <w:szCs w:val="18"/>
          <w:color w:val="auto"/>
        </w:rPr>
      </w:pPr>
    </w:p>
    <w:p>
      <w:pPr>
        <w:ind w:left="900" w:right="160" w:hanging="14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facilities and technology costs of $4.1 million primarily related to increased infrastructure to support the expansion of our research and development and manufacturing capabilities and associated headcount growth;</w:t>
      </w:r>
    </w:p>
    <w:p>
      <w:pPr>
        <w:spacing w:after="0" w:line="305" w:lineRule="exact"/>
        <w:rPr>
          <w:rFonts w:ascii="Arial" w:cs="Arial" w:eastAsia="Arial" w:hAnsi="Arial"/>
          <w:sz w:val="18"/>
          <w:szCs w:val="18"/>
          <w:color w:val="auto"/>
        </w:rPr>
      </w:pPr>
    </w:p>
    <w:p>
      <w:pPr>
        <w:ind w:left="900" w:right="120" w:hanging="14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personnel-related expenses of $3.6 million, which was primarily related to an increase in headcount to expand our research and development and manufacturing capabilities;</w:t>
      </w:r>
    </w:p>
    <w:p>
      <w:pPr>
        <w:spacing w:after="0" w:line="305" w:lineRule="exact"/>
        <w:rPr>
          <w:rFonts w:ascii="Arial" w:cs="Arial" w:eastAsia="Arial" w:hAnsi="Arial"/>
          <w:sz w:val="18"/>
          <w:szCs w:val="18"/>
          <w:color w:val="auto"/>
        </w:rPr>
      </w:pPr>
    </w:p>
    <w:p>
      <w:pPr>
        <w:ind w:left="900" w:right="540" w:hanging="14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research and laboratory expenses of $1.6 million, including laboratory supplies, preclinical studies, and other external research expenses; and</w:t>
      </w:r>
    </w:p>
    <w:p>
      <w:pPr>
        <w:spacing w:after="0" w:line="305" w:lineRule="exact"/>
        <w:rPr>
          <w:rFonts w:ascii="Arial" w:cs="Arial" w:eastAsia="Arial" w:hAnsi="Arial"/>
          <w:sz w:val="18"/>
          <w:szCs w:val="18"/>
          <w:color w:val="auto"/>
        </w:rPr>
      </w:pPr>
    </w:p>
    <w:p>
      <w:pPr>
        <w:ind w:left="900" w:right="120" w:hanging="14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other research and development expenses of $1.1 million, which was primarily related to an increase in consulting expenses.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365"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General and administrative expenses were $19.1 million and $9.6 million for the three months ended June 30, 2021 and 2020, respectively. The increase of $9.6 million was primarily due to an increase of $7.9 million in stock-based compensation expense primarily related to award accelerations and new awards granted. Additionally, corporate expenses increased $0.6 million primarily due to the costs associated with operating as a public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365"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Interest income was $0.2 million and $1.9 million for the three months ended June 30, 2021 and 2020, respectively. The decrease of $1.7 million was primarily due to lower interest rates on cash, cash equivalents and marketable securities balances.</w:t>
      </w: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presented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20" w:type="dxa"/>
            <w:vAlign w:val="bottom"/>
            <w:gridSpan w:val="5"/>
          </w:tcPr>
          <w:p>
            <w:pPr>
              <w:jc w:val="right"/>
              <w:ind w:right="1120"/>
              <w:spacing w:after="0"/>
              <w:rPr>
                <w:sz w:val="20"/>
                <w:szCs w:val="20"/>
                <w:color w:val="auto"/>
              </w:rPr>
            </w:pPr>
            <w:r>
              <w:rPr>
                <w:rFonts w:ascii="Arial" w:cs="Arial" w:eastAsia="Arial" w:hAnsi="Arial"/>
                <w:sz w:val="18"/>
                <w:szCs w:val="18"/>
                <w:b w:val="1"/>
                <w:bCs w:val="1"/>
                <w:color w:val="auto"/>
              </w:rPr>
              <w:t>Six Months Ended June 30,</w:t>
            </w: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5,073</w:t>
            </w:r>
          </w:p>
        </w:tc>
        <w:tc>
          <w:tcPr>
            <w:tcW w:w="36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4,374</w:t>
            </w:r>
          </w:p>
        </w:tc>
        <w:tc>
          <w:tcPr>
            <w:tcW w:w="320" w:type="dxa"/>
            <w:vAlign w:val="bottom"/>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87,975</w:t>
            </w:r>
          </w:p>
        </w:tc>
        <w:tc>
          <w:tcPr>
            <w:tcW w:w="3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122,652</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(34,677 )</w:t>
            </w:r>
          </w:p>
        </w:tc>
        <w:tc>
          <w:tcPr>
            <w:tcW w:w="0" w:type="dxa"/>
            <w:vAlign w:val="bottom"/>
          </w:tcPr>
          <w:p>
            <w:pPr>
              <w:spacing w:after="0"/>
              <w:rPr>
                <w:sz w:val="1"/>
                <w:szCs w:val="1"/>
                <w:color w:val="auto"/>
              </w:rPr>
            </w:pPr>
          </w:p>
        </w:tc>
      </w:tr>
      <w:tr>
        <w:trPr>
          <w:trHeight w:val="250"/>
        </w:trPr>
        <w:tc>
          <w:tcPr>
            <w:tcW w:w="51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35,943</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18,442</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operating income, net</w:t>
            </w:r>
          </w:p>
        </w:tc>
        <w:tc>
          <w:tcPr>
            <w:tcW w:w="42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(768 )</w:t>
            </w:r>
          </w:p>
        </w:tc>
        <w:tc>
          <w:tcPr>
            <w:tcW w:w="38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(1,150 )</w:t>
            </w:r>
          </w:p>
        </w:tc>
        <w:tc>
          <w:tcPr>
            <w:tcW w:w="3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123,150</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139,944</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(16,794 )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(118,077 )</w:t>
            </w:r>
          </w:p>
        </w:tc>
        <w:tc>
          <w:tcPr>
            <w:tcW w:w="38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(135,570 )</w:t>
            </w:r>
          </w:p>
        </w:tc>
        <w:tc>
          <w:tcPr>
            <w:tcW w:w="3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572</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4,222</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(3,650 )</w:t>
            </w:r>
          </w:p>
        </w:tc>
        <w:tc>
          <w:tcPr>
            <w:tcW w:w="0" w:type="dxa"/>
            <w:vAlign w:val="bottom"/>
          </w:tcPr>
          <w:p>
            <w:pPr>
              <w:spacing w:after="0"/>
              <w:rPr>
                <w:sz w:val="1"/>
                <w:szCs w:val="1"/>
                <w:color w:val="auto"/>
              </w:rPr>
            </w:pPr>
          </w:p>
        </w:tc>
      </w:tr>
      <w:tr>
        <w:trPr>
          <w:trHeight w:val="257"/>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 net</w:t>
            </w:r>
          </w:p>
        </w:tc>
        <w:tc>
          <w:tcPr>
            <w:tcW w:w="42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(133 )</w:t>
            </w:r>
          </w:p>
        </w:tc>
        <w:tc>
          <w:tcPr>
            <w:tcW w:w="3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(1,585 )</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(117,638 )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(129,896 )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12,258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attributed to common stockholders:</w:t>
            </w:r>
          </w:p>
        </w:tc>
        <w:tc>
          <w:tcPr>
            <w:tcW w:w="4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(117,638 )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(129,896 )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12,258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Deemed dividends upon repurchase of</w:t>
            </w:r>
          </w:p>
        </w:tc>
        <w:tc>
          <w:tcPr>
            <w:tcW w:w="420" w:type="dxa"/>
            <w:vAlign w:val="bottom"/>
            <w:shd w:val="clear" w:color="auto" w:fill="CFF0FC"/>
          </w:tcPr>
          <w:p>
            <w:pPr>
              <w:spacing w:after="0"/>
              <w:rPr>
                <w:sz w:val="21"/>
                <w:szCs w:val="21"/>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7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(3,582 )</w:t>
            </w:r>
          </w:p>
        </w:tc>
        <w:tc>
          <w:tcPr>
            <w:tcW w:w="340" w:type="dxa"/>
            <w:vAlign w:val="bottom"/>
            <w:shd w:val="clear" w:color="auto" w:fill="CFF0FC"/>
          </w:tcPr>
          <w:p>
            <w:pPr>
              <w:spacing w:after="0"/>
              <w:rPr>
                <w:sz w:val="21"/>
                <w:szCs w:val="21"/>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convertible preferred stock</w:t>
            </w:r>
          </w:p>
        </w:tc>
        <w:tc>
          <w:tcPr>
            <w:tcW w:w="420" w:type="dxa"/>
            <w:vAlign w:val="bottom"/>
            <w:shd w:val="clear" w:color="auto" w:fill="CFF0FC"/>
          </w:tcPr>
          <w:p>
            <w:pPr>
              <w:spacing w:after="0"/>
              <w:rPr>
                <w:sz w:val="19"/>
                <w:szCs w:val="19"/>
                <w:color w:val="auto"/>
              </w:rPr>
            </w:pPr>
          </w:p>
        </w:tc>
        <w:tc>
          <w:tcPr>
            <w:tcW w:w="13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gridSpan w:val="2"/>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Net loss attributed to common stockholders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(117,638 )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(133,478 )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15,840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-1659255</wp:posOffset>
            </wp:positionV>
            <wp:extent cx="22288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-1659255</wp:posOffset>
            </wp:positionV>
            <wp:extent cx="2057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-1659255</wp:posOffset>
            </wp:positionV>
            <wp:extent cx="685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-990600</wp:posOffset>
            </wp:positionV>
            <wp:extent cx="22288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-990600</wp:posOffset>
            </wp:positionV>
            <wp:extent cx="2057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-990600</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-193675</wp:posOffset>
            </wp:positionV>
            <wp:extent cx="22288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-193675</wp:posOffset>
            </wp:positionV>
            <wp:extent cx="2057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365"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Revenue was $5.1 million and $4.4 million for the six months ended June 30, 2021 and 2020, respectively. Revenue recognized for the six months ended June 30, 2021 and 2020 was primarily related to the recognized portion of the upfront license fee pursuant to the GSK Agreement, which was effective in July 2019. The increase of $0.7 million is primarily due to increased research and development activities under the GSK Agreement for the six months ended June 30, 2021 compared to the six months ended June 30,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our research and development expenses for the periods presented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32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Six Months Ended June 30,</w:t>
            </w:r>
          </w:p>
        </w:tc>
        <w:tc>
          <w:tcPr>
            <w:tcW w:w="6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12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1"/>
                <w:szCs w:val="21"/>
                <w:color w:val="auto"/>
              </w:rPr>
            </w:pPr>
          </w:p>
        </w:tc>
      </w:tr>
      <w:tr>
        <w:trPr>
          <w:trHeight w:val="25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w:t>
            </w:r>
          </w:p>
        </w:tc>
        <w:tc>
          <w:tcPr>
            <w:tcW w:w="116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32,673</w:t>
            </w:r>
          </w:p>
        </w:tc>
        <w:tc>
          <w:tcPr>
            <w:tcW w:w="144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25,008</w:t>
            </w:r>
          </w:p>
        </w:tc>
        <w:tc>
          <w:tcPr>
            <w:tcW w:w="6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7,665</w:t>
            </w:r>
          </w:p>
        </w:tc>
        <w:tc>
          <w:tcPr>
            <w:tcW w:w="100" w:type="dxa"/>
            <w:vAlign w:val="bottom"/>
            <w:shd w:val="clear" w:color="auto" w:fill="CFF0FC"/>
          </w:tcPr>
          <w:p>
            <w:pPr>
              <w:spacing w:after="0"/>
              <w:rPr>
                <w:sz w:val="22"/>
                <w:szCs w:val="22"/>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Success payments</w:t>
            </w: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19,233</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2,558</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16,675</w:t>
            </w:r>
          </w:p>
        </w:tc>
        <w:tc>
          <w:tcPr>
            <w:tcW w:w="100" w:type="dxa"/>
            <w:vAlign w:val="bottom"/>
          </w:tcPr>
          <w:p>
            <w:pPr>
              <w:spacing w:after="0"/>
              <w:rPr>
                <w:sz w:val="21"/>
                <w:szCs w:val="21"/>
                <w:color w:val="auto"/>
              </w:rPr>
            </w:pP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Facilities and technology</w:t>
            </w:r>
          </w:p>
        </w:tc>
        <w:tc>
          <w:tcPr>
            <w:tcW w:w="11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16,997</w:t>
            </w:r>
          </w:p>
        </w:tc>
        <w:tc>
          <w:tcPr>
            <w:tcW w:w="3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10,955</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6,042</w:t>
            </w:r>
          </w:p>
        </w:tc>
        <w:tc>
          <w:tcPr>
            <w:tcW w:w="100" w:type="dxa"/>
            <w:vAlign w:val="bottom"/>
            <w:shd w:val="clear" w:color="auto" w:fill="CFF0FC"/>
          </w:tcPr>
          <w:p>
            <w:pPr>
              <w:spacing w:after="0"/>
              <w:rPr>
                <w:sz w:val="22"/>
                <w:szCs w:val="22"/>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Research and laboratory</w:t>
            </w: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10,098</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8,958</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Collaborations and licenses</w:t>
            </w:r>
          </w:p>
        </w:tc>
        <w:tc>
          <w:tcPr>
            <w:tcW w:w="11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6,855</w:t>
            </w:r>
          </w:p>
        </w:tc>
        <w:tc>
          <w:tcPr>
            <w:tcW w:w="3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74,598</w:t>
            </w:r>
          </w:p>
        </w:tc>
        <w:tc>
          <w:tcPr>
            <w:tcW w:w="3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(67,743 )</w:t>
            </w: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36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r>
      <w:tr>
        <w:trPr>
          <w:trHeight w:val="270"/>
        </w:trPr>
        <w:tc>
          <w:tcPr>
            <w:tcW w:w="5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87,975</w:t>
            </w:r>
          </w:p>
        </w:tc>
        <w:tc>
          <w:tcPr>
            <w:tcW w:w="36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122,652</w:t>
            </w:r>
          </w:p>
        </w:tc>
        <w:tc>
          <w:tcPr>
            <w:tcW w:w="32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(34,677 )</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22288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2228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2057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20574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were $88.0 million and $122.7 million for the six months ended June 30, 2021 and 2020,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$34.7 million was primarily due to:</w:t>
      </w:r>
    </w:p>
    <w:p>
      <w:pPr>
        <w:spacing w:after="0" w:line="347" w:lineRule="exact"/>
        <w:rPr>
          <w:sz w:val="20"/>
          <w:szCs w:val="20"/>
          <w:color w:val="auto"/>
        </w:rPr>
      </w:pPr>
    </w:p>
    <w:p>
      <w:pPr>
        <w:ind w:left="900" w:right="80" w:hanging="143"/>
        <w:spacing w:after="0" w:line="281"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decrease in collaborations and licenses costs of $67.7 million, primarily due to the commitment agreement upfront payment to PACT of $63.6 million, consisting of the $50.0 million upfront payment and $13.6 million deemed to be the difference between the</w:t>
      </w:r>
    </w:p>
    <w:p>
      <w:pPr>
        <w:spacing w:after="0" w:line="1" w:lineRule="exact"/>
        <w:rPr>
          <w:sz w:val="20"/>
          <w:szCs w:val="20"/>
          <w:color w:val="auto"/>
        </w:rPr>
      </w:pPr>
    </w:p>
    <w:p>
      <w:pPr>
        <w:ind w:left="900" w:right="20"/>
        <w:spacing w:after="0" w:line="266" w:lineRule="auto"/>
        <w:rPr>
          <w:sz w:val="20"/>
          <w:szCs w:val="20"/>
          <w:color w:val="auto"/>
        </w:rPr>
      </w:pPr>
      <w:r>
        <w:rPr>
          <w:rFonts w:ascii="Arial" w:cs="Arial" w:eastAsia="Arial" w:hAnsi="Arial"/>
          <w:sz w:val="18"/>
          <w:szCs w:val="18"/>
          <w:color w:val="auto"/>
        </w:rPr>
        <w:t>purchase price of the preferred stock shares we purchased from PACT and the associated value of the preferred shares, and $7.5 million in acquired in-process research and</w:t>
      </w: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ind w:left="900" w:right="360"/>
        <w:spacing w:after="0" w:line="277" w:lineRule="auto"/>
        <w:rPr>
          <w:sz w:val="20"/>
          <w:szCs w:val="20"/>
          <w:color w:val="auto"/>
        </w:rPr>
      </w:pPr>
      <w:r>
        <w:rPr>
          <w:rFonts w:ascii="Arial" w:cs="Arial" w:eastAsia="Arial" w:hAnsi="Arial"/>
          <w:sz w:val="18"/>
          <w:szCs w:val="18"/>
          <w:color w:val="auto"/>
        </w:rPr>
        <w:t>development expense related to the asset acquisition of Immulus, Inc. (Immulus), recorded for the six months ended June 30, 2020;</w:t>
      </w:r>
    </w:p>
    <w:p>
      <w:pPr>
        <w:spacing w:after="0" w:line="305" w:lineRule="exact"/>
        <w:rPr>
          <w:sz w:val="20"/>
          <w:szCs w:val="20"/>
          <w:color w:val="auto"/>
        </w:rPr>
      </w:pPr>
    </w:p>
    <w:p>
      <w:pPr>
        <w:ind w:left="900" w:right="700" w:hanging="14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$16.7 million associated with our Fred Hutch and Stanford success payments liabilities primarily due to the increase in the per share fair value of our common stock;</w:t>
      </w:r>
    </w:p>
    <w:p>
      <w:pPr>
        <w:spacing w:after="0" w:line="305" w:lineRule="exact"/>
        <w:rPr>
          <w:rFonts w:ascii="Arial" w:cs="Arial" w:eastAsia="Arial" w:hAnsi="Arial"/>
          <w:sz w:val="18"/>
          <w:szCs w:val="18"/>
          <w:color w:val="auto"/>
        </w:rPr>
      </w:pPr>
    </w:p>
    <w:p>
      <w:pPr>
        <w:ind w:left="900" w:right="300" w:hanging="143"/>
        <w:spacing w:after="0" w:line="308"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in personnel-related expenses of $7.7 million, including $2.9 million of stock- based compensation expense, which was primarily related to an increase in headcount to expand our research and development and manufacturing capabilities;</w:t>
      </w:r>
    </w:p>
    <w:p>
      <w:pPr>
        <w:spacing w:after="0" w:line="281" w:lineRule="exact"/>
        <w:rPr>
          <w:rFonts w:ascii="Arial" w:cs="Arial" w:eastAsia="Arial" w:hAnsi="Arial"/>
          <w:sz w:val="17"/>
          <w:szCs w:val="17"/>
          <w:color w:val="auto"/>
        </w:rPr>
      </w:pPr>
    </w:p>
    <w:p>
      <w:pPr>
        <w:ind w:left="900" w:right="160" w:hanging="14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facilities and technology costs of $6.0 million primarily related to increased infrastructure to support the expansion of our research and development and manufacturing capabilities and associated headcount growth;</w:t>
      </w:r>
    </w:p>
    <w:p>
      <w:pPr>
        <w:spacing w:after="0" w:line="305" w:lineRule="exact"/>
        <w:rPr>
          <w:rFonts w:ascii="Arial" w:cs="Arial" w:eastAsia="Arial" w:hAnsi="Arial"/>
          <w:sz w:val="18"/>
          <w:szCs w:val="18"/>
          <w:color w:val="auto"/>
        </w:rPr>
      </w:pPr>
    </w:p>
    <w:p>
      <w:pPr>
        <w:ind w:left="900" w:right="120" w:hanging="14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other research and development expenses of $1.5 million, which was primarily related to an increase in consulting expenses; and</w:t>
      </w:r>
    </w:p>
    <w:p>
      <w:pPr>
        <w:spacing w:after="0" w:line="305" w:lineRule="exact"/>
        <w:rPr>
          <w:rFonts w:ascii="Arial" w:cs="Arial" w:eastAsia="Arial" w:hAnsi="Arial"/>
          <w:sz w:val="18"/>
          <w:szCs w:val="18"/>
          <w:color w:val="auto"/>
        </w:rPr>
      </w:pPr>
    </w:p>
    <w:p>
      <w:pPr>
        <w:ind w:left="900" w:right="540" w:hanging="14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research and laboratory expenses of $1.1 million, including laboratory supplies, preclinical studies, and other external research expenses.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365"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General and administrative expenses were $35.9 million and $18.4 million for the six months ended June 30, 2021 and 2020, respectively. The increase of $17.5 million was primarily due to an increase of $14.6 million in stock-based compensation expense primarily related to award modifications, accelerations and new awards granted. Additionally, corporate expenses increased $0.7 million primarily due to the costs associated with operating as a public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36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Interest income was $0.6 million and $4.2 million for the six months ended June 30, 2021 and 2020, respectively. The decrease of $3.7 million was primarily due to lower interest rates on cash, cash equivalents and marketable securities balances.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3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three and six months ended June 30, 2021, other income (expense), net, consisted primarily of the changes in fair value of an equity warrant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36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Since our inception, we have funded our operations primarily through the sale of convertible preferred stock and the sale of common stock in connection with our IPO. From June 29, 2018 (inception) through June 30, 2021, we raised an aggregate of $1,405.7 million in gross proceeds from the sales of our convertible preferred stock in connection with preferred stock financings and common stock in connection with our IPO. As of June 30, 2021, we had $974.8 million in cash, cash equivalents and marketable securities. Since our inception, we have incurred significant operating losses. We have not yet commercialized any product candidates and we do not expect to generate revenue from sales of any product candidates for a number of years, if ever. We had an accumulated deficit of $451.8 million as of 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36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manufacturing capabilities and funding our operations generally. Based on our current operating plan, we believe that our existing cash, cash equivalents and marketable securities will be sufficient to meet our working capital and capital expenditure needs into 2025. However, we anticipate that we will need to raise additional capital in the future to fund our operations, including the further development of our product candidates and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347" w:lineRule="exact"/>
        <w:rPr>
          <w:sz w:val="20"/>
          <w:szCs w:val="20"/>
          <w:color w:val="auto"/>
        </w:rPr>
      </w:pPr>
    </w:p>
    <w:p>
      <w:pPr>
        <w:ind w:left="900" w:right="300" w:hanging="14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346" w:lineRule="exact"/>
        <w:rPr>
          <w:rFonts w:ascii="Arial" w:cs="Arial" w:eastAsia="Arial" w:hAnsi="Arial"/>
          <w:sz w:val="18"/>
          <w:szCs w:val="18"/>
          <w:color w:val="auto"/>
        </w:rPr>
      </w:pPr>
    </w:p>
    <w:p>
      <w:pPr>
        <w:ind w:left="900" w:right="240" w:hanging="14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investment to build additional manufacturing facilities or expand the capacity of our existing ones;</w:t>
      </w:r>
    </w:p>
    <w:p>
      <w:pPr>
        <w:spacing w:after="0" w:line="346" w:lineRule="exact"/>
        <w:rPr>
          <w:rFonts w:ascii="Arial" w:cs="Arial" w:eastAsia="Arial" w:hAnsi="Arial"/>
          <w:sz w:val="18"/>
          <w:szCs w:val="18"/>
          <w:color w:val="auto"/>
        </w:rPr>
      </w:pPr>
    </w:p>
    <w:p>
      <w:pPr>
        <w:ind w:left="900" w:right="260" w:hanging="14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305" w:lineRule="exact"/>
        <w:rPr>
          <w:rFonts w:ascii="Arial" w:cs="Arial" w:eastAsia="Arial" w:hAnsi="Arial"/>
          <w:sz w:val="18"/>
          <w:szCs w:val="18"/>
          <w:color w:val="auto"/>
        </w:rPr>
      </w:pPr>
    </w:p>
    <w:p>
      <w:pPr>
        <w:ind w:left="900" w:hanging="143"/>
        <w:spacing w:after="0" w:line="27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licenses, product acquisitions or other strategic transactions and the fulfillment of our financial obligations under any such agreements, including the timing and amount of any success payment, future contingent, milestone, royalty, or other payments due under any such agreement;</w:t>
      </w:r>
    </w:p>
    <w:p>
      <w:pPr>
        <w:spacing w:after="0" w:line="311" w:lineRule="exact"/>
        <w:rPr>
          <w:rFonts w:ascii="Arial" w:cs="Arial" w:eastAsia="Arial" w:hAnsi="Arial"/>
          <w:sz w:val="18"/>
          <w:szCs w:val="18"/>
          <w:color w:val="auto"/>
        </w:rPr>
      </w:pPr>
    </w:p>
    <w:p>
      <w:pPr>
        <w:ind w:left="900" w:hanging="1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potential interruptions or delays resulting from factors related to the COVID-19 pandemic;</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or responding to any potential disputes or litigation; and</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technology platforms.</w:t>
      </w:r>
    </w:p>
    <w:p>
      <w:pPr>
        <w:spacing w:after="0" w:line="347"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Until such time as we complete preclinical and clinical development and receive regulatory approval of our product candidates and can generate significant revenue from product sales, if ever, we expect to finance our operations from the</w:t>
      </w: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35" w:name="page36"/>
    <w:bookmarkEnd w:id="35"/>
    <w:p>
      <w:pPr>
        <w:ind w:right="60"/>
        <w:spacing w:after="0" w:line="267" w:lineRule="auto"/>
        <w:rPr>
          <w:sz w:val="20"/>
          <w:szCs w:val="20"/>
          <w:color w:val="auto"/>
        </w:rPr>
      </w:pPr>
      <w:r>
        <w:rPr>
          <w:rFonts w:ascii="Arial" w:cs="Arial" w:eastAsia="Arial" w:hAnsi="Arial"/>
          <w:sz w:val="18"/>
          <w:szCs w:val="18"/>
          <w:color w:val="auto"/>
        </w:rPr>
        <w:t>sale of additional equity or debt financings, or other capital which come in the form of strategic collaborations, licensing, or other arrangements. In the event that additional capital is required, we may not be able to raise it on terms acceptable to us, or at all. If we raise additional funds through the issuance of equity or convertible debt securities,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 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are unable to raise additional capital when desired, our business, results of operations and financial condition would be adversely affected.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3"/>
        </w:trPr>
        <w:tc>
          <w:tcPr>
            <w:tcW w:w="7340" w:type="dxa"/>
            <w:vAlign w:val="bottom"/>
          </w:tcPr>
          <w:p>
            <w:pPr>
              <w:spacing w:after="0"/>
              <w:rPr>
                <w:sz w:val="20"/>
                <w:szCs w:val="20"/>
                <w:color w:val="auto"/>
              </w:rPr>
            </w:pPr>
            <w:r>
              <w:rPr>
                <w:rFonts w:ascii="Arial" w:cs="Arial" w:eastAsia="Arial" w:hAnsi="Arial"/>
                <w:sz w:val="18"/>
                <w:szCs w:val="18"/>
                <w:color w:val="auto"/>
              </w:rPr>
              <w:t>The following table summarizes our cash flows for the periods indicated (in thousands):</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68"/>
        </w:trPr>
        <w:tc>
          <w:tcPr>
            <w:tcW w:w="7340" w:type="dxa"/>
            <w:vAlign w:val="bottom"/>
          </w:tcPr>
          <w:p>
            <w:pPr>
              <w:spacing w:after="0"/>
              <w:rPr>
                <w:sz w:val="24"/>
                <w:szCs w:val="24"/>
                <w:color w:val="auto"/>
              </w:rPr>
            </w:pPr>
          </w:p>
        </w:tc>
        <w:tc>
          <w:tcPr>
            <w:tcW w:w="39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Six Months Ended June 30,</w:t>
            </w:r>
          </w:p>
        </w:tc>
      </w:tr>
      <w:tr>
        <w:trPr>
          <w:trHeight w:val="250"/>
        </w:trPr>
        <w:tc>
          <w:tcPr>
            <w:tcW w:w="734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10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34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(67,544 )</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(112,514 )</w:t>
            </w:r>
          </w:p>
        </w:tc>
      </w:tr>
      <w:tr>
        <w:trPr>
          <w:trHeight w:val="263"/>
        </w:trPr>
        <w:tc>
          <w:tcPr>
            <w:tcW w:w="7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Investing activities</w:t>
            </w:r>
          </w:p>
        </w:tc>
        <w:tc>
          <w:tcPr>
            <w:tcW w:w="10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97,203</w:t>
            </w:r>
          </w:p>
        </w:tc>
        <w:tc>
          <w:tcPr>
            <w:tcW w:w="3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(215,958 )</w:t>
            </w:r>
          </w:p>
        </w:tc>
      </w:tr>
      <w:tr>
        <w:trPr>
          <w:trHeight w:val="250"/>
        </w:trPr>
        <w:tc>
          <w:tcPr>
            <w:tcW w:w="734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394,376</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476,417</w:t>
            </w:r>
          </w:p>
        </w:tc>
        <w:tc>
          <w:tcPr>
            <w:tcW w:w="100" w:type="dxa"/>
            <w:vAlign w:val="bottom"/>
          </w:tcPr>
          <w:p>
            <w:pPr>
              <w:spacing w:after="0"/>
              <w:rPr>
                <w:sz w:val="21"/>
                <w:szCs w:val="21"/>
                <w:color w:val="auto"/>
              </w:rPr>
            </w:pPr>
          </w:p>
        </w:tc>
      </w:tr>
      <w:tr>
        <w:trPr>
          <w:trHeight w:val="290"/>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108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424,035</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1968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1968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3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six months ended June 30, 2021, net cash used in operating activities was $67.5 million, consisting primarily of our net loss of $117.6 million, partially offset by non-cash adjustments to reconcile net loss to net cash used in operating activities of $55.4 million. These adjustments consisted primarily of stock-based compensation expense of $28.0 million, $19.2 million for revaluation of our success payment liabilities to Fred Hutch and Stanford, depreciation and amortization expense of $5.0 million and $1.9 million in non-cash lease expense. Additionally, net operating assets decreased $5.3 million, which included $5.1 million of non-cash revenue recognized for the six months ended June 30, 2021.</w:t>
      </w:r>
    </w:p>
    <w:p>
      <w:pPr>
        <w:spacing w:after="0" w:line="31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During the six months ended June 30, 2020, net cash used in operating activities was $112.5 million, consisting primarily of our net loss of $129.9 million, partially offset by non-cash adjustments to reconcile net loss to net cash used in operating activities of $20.2 million. These adjustments consisted primarily of stock-based compensation expense of $10.5 million, non-cash expense in connection with an asset acquisition of $3.5 million, non-cash lease expense of $3.3 million, $2.6 million for revaluation of our success payment liabilities to Fred Hutch, and depreciation and amortization of $1.7 million, partially offset by the change in fair value of an equity warrant investment of $1.3 million. Additionally, net operating assets decreased $2.8 million, which included $4.4 million of non-cash revenue recognized for the six months ended June 30,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3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six months ended June 30, 2021, cash provided by investing activities was $97.2 million, consisting of net sales and maturities of marketable securities of $140.8 million partially offset by purchases of property and equipment of $43.6 million.</w:t>
      </w:r>
    </w:p>
    <w:p>
      <w:pPr>
        <w:spacing w:after="0" w:line="30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During the six months ended June 30, 2020, cash used in investing activities was $216.0 million, consisting of net purchases of marketable securities of $165.6 million, purchases of other investments of $36.4 million and purchases of property and equipment of $14.0 million.</w:t>
      </w: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Financing Activities</w:t>
      </w:r>
    </w:p>
    <w:p>
      <w:pPr>
        <w:spacing w:after="0" w:line="3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six months ended June 30, 2021, cash provided by financing activities was $394.4 million, consisting of $392.9 million in net proceeds from the sale of our common stock in our IPO and $1.5 million in proceeds from the exercise of stock options.</w:t>
      </w:r>
    </w:p>
    <w:p>
      <w:pPr>
        <w:spacing w:after="0" w:line="30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During the six months ended June 30, 2020, cash provided by financing activities was $476.4 million, consisting of $492.5 million in net proceeds from the sale of our convertible preferred stock, partially offset by the repurchase of preferred and common stock of $16.1 million.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outside the ordinary course of business to our contractual obligations and commitments as compared to those described in “Management’s Discussion and Analysis of Financial Condition and Results of Operations” set forth in the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6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Since our inception, we did not have, and we do not currently have, any off-balance sheet arrangements as defined under the rules and regulations of the SEC.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36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are an “emerging growth company,” as defined in the JOBS Act.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reduced disclosure obligations regarding executive compensation in our periodic reports and proxy statement, and exemptions from the requirements of holding a nonbinding advisory vote on executive compensation and any golden parachute payments not previously approved. In addition, under the JOBS Act, emerging growth companies can delay adopting new or revised accounting standards issued subsequent to the enactment of the JOBS Act until such time as those standards apply to private companies. We have elected to use the extended transition period in which we remain an emerging growth company; however, we may adopt certain new or revised accounting standards early. Accordingly, the information contained herein may be different than the information you receive from other public companies in which you hold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36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unaudited condensed consolidated financial statements are prepared in accordance with GAAP. The preparation of these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31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“Management’s Discussion and Analysis of Financial Condition and Results of Operations” set forth in the Prospectus, with the exception of revenue recognition related to licenses of intellectual property in the three months ended June 30, 2021.</w:t>
      </w: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88"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Revenue</w:t>
      </w:r>
    </w:p>
    <w:p>
      <w:pPr>
        <w:spacing w:after="0" w:line="36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We recognize revenue when our customer obtains control of promised goods or services, in an amount that reflects the consideration which we expect to receive in exchange for those goods and services. To determine revenue recognition for arrangements within the scope of Accounting Standards Codification (ASC) 606, Revenue from Contracts with Customers, (ASC 606), we perform the following five steps:</w:t>
      </w: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the contract(s) with a customer; (ii) identify the performance obligations in the contract; (iii) determine the transaction price;</w:t>
      </w:r>
    </w:p>
    <w:p>
      <w:pPr>
        <w:spacing w:after="0" w:line="22" w:lineRule="exact"/>
        <w:rPr>
          <w:rFonts w:ascii="Arial" w:cs="Arial" w:eastAsia="Arial" w:hAnsi="Arial"/>
          <w:sz w:val="18"/>
          <w:szCs w:val="18"/>
          <w:color w:val="auto"/>
        </w:rPr>
      </w:pPr>
    </w:p>
    <w:p>
      <w:pPr>
        <w:ind w:right="400" w:firstLine="8"/>
        <w:spacing w:after="0" w:line="27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(v) recognize revenue when (or as) the performance obligation is satisfied.</w:t>
      </w:r>
    </w:p>
    <w:p>
      <w:pPr>
        <w:spacing w:after="0" w:line="30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applying the ASC 606 framework, we must apply judgment to determine the nature of the promises within a revenue contract and whether those promises represent distinct performance obligations. In determining the transaction price, we do not include amounts subject to uncertainties unless it is probable that there will be no significant reversal of cumulative revenue when the uncertainty is resolved. Milestone and other forms of variable consideration that we may earn are subject to significant uncertainties of research and development related achievements, which generally are deemed to be not probable until such milestones are actually achieved. 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Additionally, we develop assumptions that require judgment to determine the standalone selling price of each performance obligation identified in the contract. We then allocate the total transaction price to each performance obligation based on the estimated standalone selling prices of each performance obligation, for which we recognize revenue as or when the performance obligations are satisfied. At the end of each subsequent reporting period, we re-evaluate the variable consideration and any related constraint and, if necessary, adjust our estimate of the overall transaction price. Any such adjustments are recorded on a cumulative catch-up basis. Under our license agreements, we grant the license to a customer as it exists at the point of transfer and the nature of the license is a right to use our intellectual property as transferred. If the license to our intellectual property is determined to be distinct from the other performance obligations identified in the arrangement, we recognize revenue from non-refundable, upfront fees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w:t>
      </w:r>
    </w:p>
    <w:p>
      <w:pPr>
        <w:spacing w:after="0" w:line="326"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For research and development services, revenue allocated to performance obligations is recognized using an estimate of the percentage of completion of the project based on the costs incurred on the project as a percentage of the total expected costs. The determination of the percentage of completion requires management to estimate the costs to complete the project. A detailed estimate of the costs to complete is reassessed every reporting period based on the latest project plan and discussions with project teams. If a change in facts or circumstances occurs, the estimate will be adjusted and the revenue will be recognized based on the revised estimate. The difference between the cumulative revenue recognized based on the previous estimate and the revenue recognized based on the revised estimate would be recognized as an adjustment to revenue in the period in which the change in estimate occurs. Determining the estimate of the cost-to-complete requires significant judgment and may have a significant impact on the amount and timing of revenue recognition.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in the ordinary course of our business. Our primary risks include interest rate sensitivities.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36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We had cash, cash equivalents and restricted cash of $564.9 million as of June 30, 2021, which consisted of bank deposits, money market funds and highly liquid investments purchased with original maturities of three months or less from the purchase date. We also had marketable securities of $410.3 million as of June 30, 2021. The primary objective of our investment activities is to preserve capital to fund our operations while earning a low-risk return. Because our marketable securities are primarily short-term in duration, we believe that our exposure to interest rate risk is not significant, and a hypothetical 1% change in market interest rates during any of the periods presented would not have had a material effect on our unaudited condensed consolidated financial statements included elsewhere in this Quarterly Report on Form 10-Q. We had no debt outstanding as of June 30,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3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All of our employees and our operations are currently located in the United States and our expenses are generally denominated in U.S. dollars. We therefore are not currently exposed to significant market risk related to changes in foreign currency exchange rates. However, we have contracted with and may continue to contract with non-U.S. vendors who we may pay in local currency. Our operations may be subject to fluctuations in foreign currency exchange rates in the future. To date, foreign currency transaction gains and losses have not been material to our consolidated financial statements, and we have not had a formal hedging program with respect to foreign currency. We believe a hypothetical 1% chance in exchange rates during any of the periods presented would not have a material effect on our unaudited condensed consolidated financial statements included elsewhere in this Quarterly Report on Form 10-Q.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369"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color w:val="auto"/>
        </w:rPr>
        <w:t>Inflation generally affects us by increasing our cost of labor and in the future our clinical trial costs. We believe that inflation has not had a material effect on our unaudited condensed consolidated financial statements included elsewhere in this Quarterly Report on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June 30, 2021, management, with the participation and supervision of our Chief Executive Officer and our Chief Financial Officer, have evaluated our disclosure controls and procedures as defined in Rules 13a-15(e) and 15d-15(e) under the Securities Exchange Act of 1934, as amended, or the Exchange Act. Based on that evaluation, our Chief Executive Officer and our Chief Financial Officer have concluded that, as of June 30, 2021,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3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3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2021 that has materially affected, or is reasonably likely to materially affect, our internal control over financial reporting.</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6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From time to time, we have been or may become involved in material legal proceedings or be subject to claims arising in the ordinary course of our business. For example, although not material to our operations, in February 2021 we filed a demand for arbitration to, among other things, seek rescission of the agreements we entered into with PACT in June 2020 and recover the consideration paid to PACT thereunder. An arbitration hearing has been scheduled to occur in March</w:t>
      </w: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ind w:right="460"/>
        <w:spacing w:after="0" w:line="277" w:lineRule="auto"/>
        <w:rPr>
          <w:sz w:val="20"/>
          <w:szCs w:val="20"/>
          <w:color w:val="auto"/>
        </w:rPr>
      </w:pPr>
      <w:r>
        <w:rPr>
          <w:rFonts w:ascii="Arial" w:cs="Arial" w:eastAsia="Arial" w:hAnsi="Arial"/>
          <w:sz w:val="18"/>
          <w:szCs w:val="18"/>
          <w:color w:val="auto"/>
        </w:rPr>
        <w:t>2022. Litigation is subject to inherent uncertainties, and an adverse result in these or other matters may arise from time to time that may harm our business.</w:t>
      </w: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currently not party to any legal proceedings material to our operations or of which any of our property is the subject, nor are we aware of any such proceedings that are contemplated by a government authority.</w:t>
      </w: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Regardless of outcome, such proceedings or claims can have an adverse impact on us because of defense and settlement costs, diversion of resources and other factors, and there can be no assurances that favorable outcomes will be obtained.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5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risks described below, as well as the other information contained in this Quarterly Report on Form 10-Q, including our unaudited condensed consolidated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351"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i w:val="1"/>
          <w:iCs w:val="1"/>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follows this summary. This summary is qualified in its entirety by that more complete discussion of such risks and uncertainties.</w:t>
      </w:r>
    </w:p>
    <w:p>
      <w:pPr>
        <w:spacing w:after="0" w:line="308" w:lineRule="exact"/>
        <w:rPr>
          <w:sz w:val="20"/>
          <w:szCs w:val="20"/>
          <w:color w:val="auto"/>
        </w:rPr>
      </w:pPr>
    </w:p>
    <w:p>
      <w:pPr>
        <w:ind w:left="920" w:right="200" w:hanging="163"/>
        <w:spacing w:after="0" w:line="277" w:lineRule="auto"/>
        <w:tabs>
          <w:tab w:leader="none" w:pos="8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a preclinical biopharmaceutical company and have incurred substantial losses since our inception and anticipate that we will continue to incur substantial and increasing net losses for the foreseeable future.</w:t>
      </w:r>
    </w:p>
    <w:p>
      <w:pPr>
        <w:spacing w:after="0" w:line="305" w:lineRule="exact"/>
        <w:rPr>
          <w:rFonts w:ascii="Arial" w:cs="Arial" w:eastAsia="Arial" w:hAnsi="Arial"/>
          <w:sz w:val="18"/>
          <w:szCs w:val="18"/>
          <w:color w:val="auto"/>
        </w:rPr>
      </w:pPr>
    </w:p>
    <w:p>
      <w:pPr>
        <w:ind w:left="920" w:right="240" w:hanging="163"/>
        <w:spacing w:after="0" w:line="277" w:lineRule="auto"/>
        <w:tabs>
          <w:tab w:leader="none" w:pos="8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operate in a rapidly evolving field and have a limited operating history, which may make it difficult to evaluate the success of our business to date and to assess our future viability.</w:t>
      </w:r>
    </w:p>
    <w:p>
      <w:pPr>
        <w:spacing w:after="0" w:line="305" w:lineRule="exact"/>
        <w:rPr>
          <w:rFonts w:ascii="Arial" w:cs="Arial" w:eastAsia="Arial" w:hAnsi="Arial"/>
          <w:sz w:val="18"/>
          <w:szCs w:val="18"/>
          <w:color w:val="auto"/>
        </w:rPr>
      </w:pPr>
    </w:p>
    <w:p>
      <w:pPr>
        <w:ind w:left="920" w:right="20" w:hanging="163"/>
        <w:spacing w:after="0" w:line="277" w:lineRule="auto"/>
        <w:tabs>
          <w:tab w:leader="none" w:pos="8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achieve our goals, and a failure to obtain this necessary capital when needed could force us to delay, limit, reduce or terminate our product development or commercialization efforts.</w:t>
      </w:r>
    </w:p>
    <w:p>
      <w:pPr>
        <w:spacing w:after="0" w:line="305" w:lineRule="exact"/>
        <w:rPr>
          <w:rFonts w:ascii="Arial" w:cs="Arial" w:eastAsia="Arial" w:hAnsi="Arial"/>
          <w:sz w:val="18"/>
          <w:szCs w:val="18"/>
          <w:color w:val="auto"/>
        </w:rPr>
      </w:pPr>
    </w:p>
    <w:p>
      <w:pPr>
        <w:ind w:left="920" w:right="240" w:hanging="163"/>
        <w:spacing w:after="0" w:line="271" w:lineRule="auto"/>
        <w:tabs>
          <w:tab w:leader="none" w:pos="8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early in our research and development efforts and all of our product candidates are still in preclinical development. If we are unable to successfully develop and commercialize product candidates or experience significant delays in doing so, our business may be harmed.</w:t>
      </w:r>
    </w:p>
    <w:p>
      <w:pPr>
        <w:spacing w:after="0" w:line="311" w:lineRule="exact"/>
        <w:rPr>
          <w:rFonts w:ascii="Arial" w:cs="Arial" w:eastAsia="Arial" w:hAnsi="Arial"/>
          <w:sz w:val="18"/>
          <w:szCs w:val="18"/>
          <w:color w:val="auto"/>
        </w:rPr>
      </w:pPr>
    </w:p>
    <w:p>
      <w:pPr>
        <w:ind w:left="920" w:right="60" w:hanging="163"/>
        <w:spacing w:after="0" w:line="269" w:lineRule="auto"/>
        <w:tabs>
          <w:tab w:leader="none" w:pos="8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candidates and technology platforms are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use and expand our technology platforms to build a pipeline of product candidates.</w:t>
      </w:r>
    </w:p>
    <w:p>
      <w:pPr>
        <w:spacing w:after="0" w:line="314" w:lineRule="exact"/>
        <w:rPr>
          <w:rFonts w:ascii="Arial" w:cs="Arial" w:eastAsia="Arial" w:hAnsi="Arial"/>
          <w:sz w:val="18"/>
          <w:szCs w:val="18"/>
          <w:color w:val="auto"/>
        </w:rPr>
      </w:pPr>
    </w:p>
    <w:p>
      <w:pPr>
        <w:jc w:val="both"/>
        <w:ind w:left="920" w:right="100" w:hanging="163"/>
        <w:spacing w:after="0" w:line="281" w:lineRule="auto"/>
        <w:tabs>
          <w:tab w:leader="none" w:pos="871"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cellular therapy product candidates represent new therapeutic approaches that could result in heightened regulatory scrutiny, delays in clinical development or delays in or our inability to achieve regulatory approval, commercialization or payor coverage of</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product candidates.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0" w:name="page41"/>
    <w:bookmarkEnd w:id="40"/>
    <w:p>
      <w:pPr>
        <w:ind w:left="920" w:right="460" w:hanging="163"/>
        <w:spacing w:after="0" w:line="308" w:lineRule="auto"/>
        <w:tabs>
          <w:tab w:leader="none" w:pos="87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results of research, preclinical studies or earlier clinical trials are not necessarily predictive of future results. Any product candidate we advance into clinical trials may not have favorable results in later clinical trials or receive regulatory approval.</w:t>
      </w:r>
    </w:p>
    <w:p>
      <w:pPr>
        <w:spacing w:after="0" w:line="281" w:lineRule="exact"/>
        <w:rPr>
          <w:rFonts w:ascii="Arial" w:cs="Arial" w:eastAsia="Arial" w:hAnsi="Arial"/>
          <w:sz w:val="17"/>
          <w:szCs w:val="17"/>
          <w:color w:val="auto"/>
        </w:rPr>
      </w:pPr>
    </w:p>
    <w:p>
      <w:pPr>
        <w:ind w:left="860" w:hanging="103"/>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w:t>
      </w:r>
    </w:p>
    <w:p>
      <w:pPr>
        <w:spacing w:after="0" w:line="346" w:lineRule="exact"/>
        <w:rPr>
          <w:rFonts w:ascii="Arial" w:cs="Arial" w:eastAsia="Arial" w:hAnsi="Arial"/>
          <w:sz w:val="18"/>
          <w:szCs w:val="18"/>
          <w:color w:val="auto"/>
        </w:rPr>
      </w:pPr>
    </w:p>
    <w:p>
      <w:pPr>
        <w:ind w:left="920" w:right="360" w:hanging="163"/>
        <w:spacing w:after="0" w:line="271" w:lineRule="auto"/>
        <w:tabs>
          <w:tab w:leader="none" w:pos="8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intend to manufacture at least a portion of our product candidates ourselves. Delays in commissioning and receiving regulatory approvals for our manufacturing facility could delay our development plans and thereby limit our ability to generate product revenues.</w:t>
      </w:r>
    </w:p>
    <w:p>
      <w:pPr>
        <w:spacing w:after="0" w:line="311" w:lineRule="exact"/>
        <w:rPr>
          <w:rFonts w:ascii="Arial" w:cs="Arial" w:eastAsia="Arial" w:hAnsi="Arial"/>
          <w:sz w:val="18"/>
          <w:szCs w:val="18"/>
          <w:color w:val="auto"/>
        </w:rPr>
      </w:pPr>
    </w:p>
    <w:p>
      <w:pPr>
        <w:ind w:left="920" w:right="120" w:hanging="163"/>
        <w:spacing w:after="0" w:line="277" w:lineRule="auto"/>
        <w:tabs>
          <w:tab w:leader="none" w:pos="8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manufacturing of cellular therapies is very complex. We are subject to a multitude of manufacturing risks, any of which could substantially increase our costs, delay our programs or limit supply of our product candidates.</w:t>
      </w:r>
    </w:p>
    <w:p>
      <w:pPr>
        <w:spacing w:after="0" w:line="305" w:lineRule="exact"/>
        <w:rPr>
          <w:rFonts w:ascii="Arial" w:cs="Arial" w:eastAsia="Arial" w:hAnsi="Arial"/>
          <w:sz w:val="18"/>
          <w:szCs w:val="18"/>
          <w:color w:val="auto"/>
        </w:rPr>
      </w:pPr>
    </w:p>
    <w:p>
      <w:pPr>
        <w:ind w:left="920" w:right="140" w:hanging="163"/>
        <w:spacing w:after="0" w:line="308" w:lineRule="auto"/>
        <w:tabs>
          <w:tab w:leader="none" w:pos="871"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entered into a collaboration with GSK and may form or seek collaborations or strategic alliances or enter into additional licensing arrangements in the future, and we may not realize the benefits of such alliances or licensing arrangements.</w:t>
      </w:r>
    </w:p>
    <w:p>
      <w:pPr>
        <w:spacing w:after="0" w:line="281" w:lineRule="exact"/>
        <w:rPr>
          <w:rFonts w:ascii="Arial" w:cs="Arial" w:eastAsia="Arial" w:hAnsi="Arial"/>
          <w:sz w:val="17"/>
          <w:szCs w:val="17"/>
          <w:color w:val="auto"/>
        </w:rPr>
      </w:pPr>
    </w:p>
    <w:p>
      <w:pPr>
        <w:ind w:left="920" w:right="160" w:hanging="163"/>
        <w:spacing w:after="0" w:line="277" w:lineRule="auto"/>
        <w:tabs>
          <w:tab w:leader="none" w:pos="8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305" w:lineRule="exact"/>
        <w:rPr>
          <w:rFonts w:ascii="Arial" w:cs="Arial" w:eastAsia="Arial" w:hAnsi="Arial"/>
          <w:sz w:val="18"/>
          <w:szCs w:val="18"/>
          <w:color w:val="auto"/>
        </w:rPr>
      </w:pPr>
    </w:p>
    <w:p>
      <w:pPr>
        <w:jc w:val="both"/>
        <w:ind w:left="920" w:right="80" w:hanging="163"/>
        <w:spacing w:after="0" w:line="271" w:lineRule="auto"/>
        <w:tabs>
          <w:tab w:leader="none" w:pos="8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could be adversely affected by the effects of health epidemics, including the COVID-19 pandemic, in regions where we or third parties on which we rely have significant manufacturing facilities, concentrations of potential clinical trial sites or other business operations.</w:t>
      </w:r>
    </w:p>
    <w:p>
      <w:pPr>
        <w:spacing w:after="0" w:line="311" w:lineRule="exact"/>
        <w:rPr>
          <w:rFonts w:ascii="Arial" w:cs="Arial" w:eastAsia="Arial" w:hAnsi="Arial"/>
          <w:sz w:val="18"/>
          <w:szCs w:val="18"/>
          <w:color w:val="auto"/>
        </w:rPr>
      </w:pPr>
    </w:p>
    <w:p>
      <w:pPr>
        <w:ind w:left="920" w:right="160" w:hanging="163"/>
        <w:spacing w:after="0" w:line="271" w:lineRule="auto"/>
        <w:tabs>
          <w:tab w:leader="none" w:pos="8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 candidates, or if the scope of the intellectual property protection is not sufficiently broad, our ability to commercialize our product candidates successfully and to compete effectively may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Financial Condition, Limited Operating History and Need for Additional Capital</w:t>
      </w:r>
    </w:p>
    <w:p>
      <w:pPr>
        <w:spacing w:after="0" w:line="347" w:lineRule="exact"/>
        <w:rPr>
          <w:sz w:val="20"/>
          <w:szCs w:val="20"/>
          <w:color w:val="auto"/>
        </w:rPr>
      </w:pPr>
    </w:p>
    <w:p>
      <w:pPr>
        <w:ind w:right="200"/>
        <w:spacing w:after="0" w:line="303" w:lineRule="auto"/>
        <w:rPr>
          <w:sz w:val="20"/>
          <w:szCs w:val="20"/>
          <w:color w:val="auto"/>
        </w:rPr>
      </w:pPr>
      <w:r>
        <w:rPr>
          <w:rFonts w:ascii="Arial" w:cs="Arial" w:eastAsia="Arial" w:hAnsi="Arial"/>
          <w:sz w:val="18"/>
          <w:szCs w:val="18"/>
          <w:b w:val="1"/>
          <w:bCs w:val="1"/>
          <w:i w:val="1"/>
          <w:iCs w:val="1"/>
          <w:color w:val="auto"/>
        </w:rPr>
        <w:t>We are a preclinical biopharmaceutical company and have incurred substantial losses since our inception and anticipate that we will continue to incur substantial and increasing net losses for the foreseeable future.</w:t>
      </w:r>
    </w:p>
    <w:p>
      <w:pPr>
        <w:spacing w:after="0" w:line="28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 product candidate will fail to prove effective, gain regulatory approval or become commercially viable. We are a preclinical biopharmaceutical company, and we do not have any products approved by regulatory authorities and have incurred significant research, development and other expenses related to our ongoing operations and expect to continue to incur such expenses. Since our inception, we have not generated any revenue from product sales and have incurred significant net losses. Our net losses were $62.6 million and $100.7 million for the three months ended June 30, 2021 and June 30, 2020, respectively, and $117.6 million and $129.9 million for the six months ended June 30, 2021 and 2020, respectively. Substantially all of our net losses since inception have resulted from our research and development programs and general and administrative costs associated with our operations. As of June 30, 2021, we had an accumulated deficit of $451.8 million.</w:t>
      </w:r>
    </w:p>
    <w:p>
      <w:pPr>
        <w:spacing w:after="0" w:line="31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We do not expect to generate revenue from product sales for the foreseeable future, if at all. We expect to continue to incur significant expenses and operating losses for the foreseeable future. We anticipate these losses to increase as we continue to research, develop and seek regulatory approvals for our product candidates, expand our manufacturing capabilities, in-license or acquire additional technologies and potentially begin to commercialize product candidates that may achieve regulatory approval. We may encounter unforeseen expenses, difficulties, complications, delays and other unknown factors that may adversely affect our business. The size of our future net losses will depend, in part, on the rate of future growth of our expenses and our ability to generate revenues. Moreover, our net losses may fluctuate significantly from quarter to quarter and year to year, such that a period to period comparison of our results of operations may not be a good indication of our future performance. If any of our product candidates fails in research and development or clinical</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41" w:name="page42"/>
    <w:bookmarkEnd w:id="41"/>
    <w:p>
      <w:pPr>
        <w:ind w:right="160"/>
        <w:spacing w:after="0" w:line="277" w:lineRule="auto"/>
        <w:rPr>
          <w:sz w:val="20"/>
          <w:szCs w:val="20"/>
          <w:color w:val="auto"/>
        </w:rPr>
      </w:pPr>
      <w:r>
        <w:rPr>
          <w:rFonts w:ascii="Arial" w:cs="Arial" w:eastAsia="Arial" w:hAnsi="Arial"/>
          <w:sz w:val="18"/>
          <w:szCs w:val="18"/>
          <w:color w:val="auto"/>
        </w:rPr>
        <w:t>trials or does not gain regulatory approval, or, if approved, fails to achieve market acceptance, we may never become profitable. Even if we achieve profitability in the future, we may not be able to sustain profitability in subsequent periods.</w:t>
      </w: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anticipate that our expenses and operating losses will increase substantially over the foreseeable future. The expected increase in expenses will be driven in large part by our ongoing activities, if and as we:</w:t>
      </w:r>
    </w:p>
    <w:p>
      <w:pPr>
        <w:spacing w:after="0" w:line="305" w:lineRule="exact"/>
        <w:rPr>
          <w:sz w:val="20"/>
          <w:szCs w:val="20"/>
          <w:color w:val="auto"/>
        </w:rPr>
      </w:pPr>
    </w:p>
    <w:p>
      <w:pPr>
        <w:ind w:left="900" w:hanging="14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preclinical development of our current and future product candidates and initiate additional preclinical studies;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commence clinical trials of our current and future product candidates;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our Gen-R, Epi-R and cell rejuvenation technology platforms as well as other research and development efforts;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regulatory approval of our current and future product candidates;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manufacturing and process development capabilities;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and license technology platforms;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develop, protect and defend our intellectual property portfolio; and</w:t>
      </w:r>
    </w:p>
    <w:p>
      <w:pPr>
        <w:spacing w:after="0" w:line="346" w:lineRule="exact"/>
        <w:rPr>
          <w:rFonts w:ascii="Arial" w:cs="Arial" w:eastAsia="Arial" w:hAnsi="Arial"/>
          <w:sz w:val="18"/>
          <w:szCs w:val="18"/>
          <w:color w:val="auto"/>
        </w:rPr>
      </w:pPr>
    </w:p>
    <w:p>
      <w:pPr>
        <w:ind w:left="900" w:right="460" w:hanging="143"/>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283" w:lineRule="exact"/>
        <w:rPr>
          <w:sz w:val="20"/>
          <w:szCs w:val="20"/>
          <w:color w:val="auto"/>
        </w:rPr>
      </w:pPr>
    </w:p>
    <w:p>
      <w:pPr>
        <w:ind w:right="220"/>
        <w:spacing w:after="0" w:line="303" w:lineRule="auto"/>
        <w:rPr>
          <w:sz w:val="20"/>
          <w:szCs w:val="20"/>
          <w:color w:val="auto"/>
        </w:rPr>
      </w:pPr>
      <w:r>
        <w:rPr>
          <w:rFonts w:ascii="Arial" w:cs="Arial" w:eastAsia="Arial" w:hAnsi="Arial"/>
          <w:sz w:val="18"/>
          <w:szCs w:val="18"/>
          <w:b w:val="1"/>
          <w:bCs w:val="1"/>
          <w:i w:val="1"/>
          <w:iCs w:val="1"/>
          <w:color w:val="auto"/>
        </w:rPr>
        <w:t>We operate in a rapidly evolving field and have a limited operating history, which may make it difficult to evaluate the success of our business to date and to assess our future viability.</w:t>
      </w:r>
    </w:p>
    <w:p>
      <w:pPr>
        <w:spacing w:after="0" w:line="2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operate in a rapidly evolving field and, having commenced operations in June 2018, have a limited operating history, which makes it difficult to evaluate our business and prospects. Our primary activities to date have included developing T cell therapies, performing research and development, acquiring technology, entering into strategic collaboration and license agreements, enabling manufacturing activities in support of our product candidate development efforts, organizing and staffing the company, business planning, establishing our intellectual property portfolio, raising capital and providing general and administrative support for these activities. Any predictions about our future success, performance or viability, may not be as accurate as they could be if we had a longer operating history or approved products on the market.</w:t>
      </w:r>
    </w:p>
    <w:p>
      <w:pPr>
        <w:spacing w:after="0" w:line="31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 We expect our financial condition and operating results to continue to fluctuate significantly from quarter to quarter and year to year due to a variety of factors, many of which are beyond our control. Accordingly, any of our quarterly or annual periods’ results are not indicative of future operating performance.</w:t>
      </w: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42" w:name="page43"/>
    <w:bookmarkEnd w:id="42"/>
    <w:p>
      <w:pPr>
        <w:ind w:right="220"/>
        <w:spacing w:after="0" w:line="303" w:lineRule="auto"/>
        <w:rPr>
          <w:sz w:val="20"/>
          <w:szCs w:val="20"/>
          <w:color w:val="auto"/>
        </w:rPr>
      </w:pPr>
      <w:r>
        <w:rPr>
          <w:rFonts w:ascii="Arial" w:cs="Arial" w:eastAsia="Arial" w:hAnsi="Arial"/>
          <w:sz w:val="18"/>
          <w:szCs w:val="18"/>
          <w:b w:val="1"/>
          <w:bCs w:val="1"/>
          <w:i w:val="1"/>
          <w:iCs w:val="1"/>
          <w:color w:val="auto"/>
        </w:rPr>
        <w:t>We currently have no products approved for sale and have never generated revenue from product sales. We may never generate revenue from product sales or achieve profitability.</w:t>
      </w:r>
    </w:p>
    <w:p>
      <w:pPr>
        <w:spacing w:after="0" w:line="28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 date, we have not generated any revenues from product sales. Our ability to generate revenues from product sales and achieve profitability will depend on our ability to successfully develop and subsequently obtain regulatory approval for and commercialize, our product candidates. Our ability to generate revenues and achieve profitability also depends on a number of additional factors, including our ability to:</w:t>
      </w:r>
    </w:p>
    <w:p>
      <w:pPr>
        <w:spacing w:after="0" w:line="311" w:lineRule="exact"/>
        <w:rPr>
          <w:sz w:val="20"/>
          <w:szCs w:val="20"/>
          <w:color w:val="auto"/>
        </w:rPr>
      </w:pPr>
    </w:p>
    <w:p>
      <w:pPr>
        <w:ind w:left="900" w:right="200" w:hanging="14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complete our research activities to identify the technologies and product candidates to further investigate in clinical trials;</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complete development activities, including the necessary clinical trials;</w:t>
      </w:r>
    </w:p>
    <w:p>
      <w:pPr>
        <w:spacing w:after="0" w:line="346" w:lineRule="exact"/>
        <w:rPr>
          <w:rFonts w:ascii="Arial" w:cs="Arial" w:eastAsia="Arial" w:hAnsi="Arial"/>
          <w:sz w:val="18"/>
          <w:szCs w:val="18"/>
          <w:color w:val="auto"/>
        </w:rPr>
      </w:pPr>
    </w:p>
    <w:p>
      <w:pPr>
        <w:ind w:left="900" w:right="200" w:hanging="14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and submit regulatory submissions to the U.S. Food and Drug Administration (FDA), the European Medicines Agency (EMA) or other agencies and obtain regulatory approval for indications for which there is a commercial market;</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and private payors;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set commercially viable prices for our products, if any;</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manufacturing and distribution processes for our product candidates;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commercial quantities of our products at acceptable cost levels;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and maintain adequate supply of our product candidates, including the starting materials and reagents needed;</w:t>
      </w:r>
    </w:p>
    <w:p>
      <w:pPr>
        <w:spacing w:after="0" w:line="346" w:lineRule="exact"/>
        <w:rPr>
          <w:rFonts w:ascii="Arial" w:cs="Arial" w:eastAsia="Arial" w:hAnsi="Arial"/>
          <w:sz w:val="18"/>
          <w:szCs w:val="18"/>
          <w:color w:val="auto"/>
        </w:rPr>
      </w:pPr>
    </w:p>
    <w:p>
      <w:pPr>
        <w:jc w:val="both"/>
        <w:ind w:left="900" w:right="480" w:hanging="143"/>
        <w:spacing w:after="0" w:line="271"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our own manufacturing facility such that we can maintain the supply of our product candidates in a manner that is compliant with global legal requirements or to the extent necessary, establish and maintain manufacturing relationships with reliable third parties;</w:t>
      </w:r>
    </w:p>
    <w:p>
      <w:pPr>
        <w:spacing w:after="0" w:line="311" w:lineRule="exact"/>
        <w:rPr>
          <w:rFonts w:ascii="Arial" w:cs="Arial" w:eastAsia="Arial" w:hAnsi="Arial"/>
          <w:sz w:val="18"/>
          <w:szCs w:val="18"/>
          <w:color w:val="auto"/>
        </w:rPr>
      </w:pPr>
    </w:p>
    <w:p>
      <w:pPr>
        <w:ind w:left="900" w:hanging="14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market acceptance of our products, if any;</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 our rights in our intellectual property portfolio;</w:t>
      </w:r>
    </w:p>
    <w:p>
      <w:pPr>
        <w:spacing w:after="0" w:line="346" w:lineRule="exact"/>
        <w:rPr>
          <w:rFonts w:ascii="Arial" w:cs="Arial" w:eastAsia="Arial" w:hAnsi="Arial"/>
          <w:sz w:val="18"/>
          <w:szCs w:val="18"/>
          <w:color w:val="auto"/>
        </w:rPr>
      </w:pPr>
    </w:p>
    <w:p>
      <w:pPr>
        <w:ind w:left="900" w:right="20" w:hanging="14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for any products we intend to sell ourselves in the markets in which we choose to commercialize on our own; and</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find suitable distribution partners to help us market, sell and distribute our approved products in other markets.</w:t>
      </w:r>
    </w:p>
    <w:p>
      <w:pPr>
        <w:spacing w:after="0" w:line="34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revenues for any product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In addition, we anticipate incurring significant costs associated with commercializing any approved product candidate. As a result, even if we generate revenue from product sales, we may not become profitable and may need to obtain additional funding to continue operations. If we fail to become profitable or are unable to sustain profitability on a continuing basis, then we may be unable to continue our operations at planned levels and may be forced to reduce our operations.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43" w:name="page44"/>
    <w:bookmarkEnd w:id="43"/>
    <w:p>
      <w:pPr>
        <w:ind w:right="40"/>
        <w:spacing w:after="0" w:line="303" w:lineRule="auto"/>
        <w:rPr>
          <w:sz w:val="20"/>
          <w:szCs w:val="20"/>
          <w:color w:val="auto"/>
        </w:rPr>
      </w:pPr>
      <w:r>
        <w:rPr>
          <w:rFonts w:ascii="Arial" w:cs="Arial" w:eastAsia="Arial" w:hAnsi="Arial"/>
          <w:sz w:val="18"/>
          <w:szCs w:val="18"/>
          <w:b w:val="1"/>
          <w:bCs w:val="1"/>
          <w:i w:val="1"/>
          <w:iCs w:val="1"/>
          <w:color w:val="auto"/>
        </w:rPr>
        <w:t>We will require substantial additional capital to achieve our goals, and a failure to obtain this necessary capital when needed could force us to delay, limit, reduce or terminate our product development or commercialization efforts.</w:t>
      </w:r>
    </w:p>
    <w:p>
      <w:pPr>
        <w:spacing w:after="0" w:line="282"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We expect to expend substantial resources for the foreseeable future to advance and expand our research pipeline, conduct preclinical studies and proceed to clinical development and manufacturing of our product candidates. We also expect to continue to expend resources for the development of our technology platforms. These expenditures will include costs associated with research and development, potentially acquiring or licensing new technologies, conducting preclinical studies and clinical trials and potentially obtaining regulatory approvals and manufacturing products, as well as marketing and selling products approved for sale, if any. We will also need to make significant expenditures to develop a commercial organization capable of sales, marketing and distribution for any products, if any, that we intend to sell ourselves in the markets in which we choose to commercialize. In addition, we may be required to make substantial payments related to our success payment agreements and other contingent consideration payments under our license and collaboration agreements. Because the design and outcome of our planned and anticipated clinical trials are highly uncertain, we cannot reasonably estimate the actual amounts necessary to successfully complete the discovery, development and commercialization of our potential product candidates and other unanticipated costs may arise.</w:t>
      </w:r>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of June 30, 2021, we had approximately $974.8 million in cash, cash equivalents and short-term marketable securities. Based on our current operating plan, we believe that our existing cash, cash equivalents and marketable securities, will be sufficient to meet our working capital and capital expenditure needs into 2025.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w:t>
      </w:r>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do not have any committed external source of funds. Additional funds may not be available when we need them on terms that are acceptable to us, or at all, and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adequate funds are not available to us on a timely basis, we may be required to delay, limit, reduce or terminate preclinical studies, clinical trials or other development activities for our product candidates or delay, limit, reduce or terminate our establishment of sales, marketing and distribution capabilities or other activities that may be necessary to commercialize our product candidates.</w:t>
      </w:r>
    </w:p>
    <w:p>
      <w:pPr>
        <w:spacing w:after="0" w:line="291"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i w:val="1"/>
          <w:iCs w:val="1"/>
          <w:color w:val="auto"/>
        </w:rPr>
        <w:t>Our success payment obligations in our success payment agreements may result in dilution to our stockholders or may be a drain on our cash resources to satisfy the payment obligations.</w:t>
      </w:r>
    </w:p>
    <w:p>
      <w:pPr>
        <w:spacing w:after="0" w:line="28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agreed to make success payments payable in cash or publicly-tradeable shares of our common stock at our discretion pursuant to our success payment agreements with Fred Hutchinson Cancer Research Center (Fred Hutch) and The Board of Trustees of the Leland Stanford Junior University (Stanford). On each contractually prescribed measurement date, we may be required to make success payments based on increases in the per share fair value of our common stock. The total amount of success payments that we may become obligated to make is currently $400.0 million and may increase in the future due to amendments of our existing success payment agreements or additional success payment agreements that we may enter into in the future. For information related to our success payment obligations, see Note 3 of the notes to unaudited condensed consolidated financial statements included under Part I, Item 1 of this Quarterly Report on Form 10-Q.</w:t>
      </w:r>
    </w:p>
    <w:p>
      <w:pPr>
        <w:spacing w:after="0" w:line="318"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In order to satisfy our obligations to make these success payments, if and when they are triggered, we may issue equity or convertible debt securities that may cause dilution to our stockholders, or we may use our existing cash to satisfy the success payment obligation in cash, which may adversely affect our financial position. In addition, these success payments may impede our ability to raise money in future public offerings of debt or equity securities or to obtain a third-party line of credit.</w:t>
      </w:r>
    </w:p>
    <w:p>
      <w:pPr>
        <w:spacing w:after="0" w:line="292" w:lineRule="exact"/>
        <w:rPr>
          <w:sz w:val="20"/>
          <w:szCs w:val="20"/>
          <w:color w:val="auto"/>
        </w:rPr>
      </w:pPr>
    </w:p>
    <w:p>
      <w:pPr>
        <w:ind w:right="220"/>
        <w:spacing w:after="0" w:line="303" w:lineRule="auto"/>
        <w:rPr>
          <w:sz w:val="20"/>
          <w:szCs w:val="20"/>
          <w:color w:val="auto"/>
        </w:rPr>
      </w:pPr>
      <w:r>
        <w:rPr>
          <w:rFonts w:ascii="Arial" w:cs="Arial" w:eastAsia="Arial" w:hAnsi="Arial"/>
          <w:sz w:val="18"/>
          <w:szCs w:val="18"/>
          <w:b w:val="1"/>
          <w:bCs w:val="1"/>
          <w:i w:val="1"/>
          <w:iCs w:val="1"/>
          <w:color w:val="auto"/>
        </w:rPr>
        <w:t>The success payment agreements may cause operating results to fluctuate significantly from quarter to quarter and year to year, which may reduce the usefulness of our consolidated financial statements.</w:t>
      </w:r>
    </w:p>
    <w:p>
      <w:pPr>
        <w:spacing w:after="0" w:line="28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Our success payment obligations are recorded as liabilities on our consolidated balance sheets. Under U.S. generally accepted accounting principles (GAAP), we are required to estimate the fair value of these liabilities as of each quarter</w:t>
      </w: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spacing w:after="0" w:line="268" w:lineRule="auto"/>
        <w:rPr>
          <w:sz w:val="20"/>
          <w:szCs w:val="20"/>
          <w:color w:val="auto"/>
        </w:rPr>
      </w:pPr>
      <w:r>
        <w:rPr>
          <w:rFonts w:ascii="Arial" w:cs="Arial" w:eastAsia="Arial" w:hAnsi="Arial"/>
          <w:sz w:val="18"/>
          <w:szCs w:val="18"/>
          <w:color w:val="auto"/>
        </w:rPr>
        <w:t>end and changes in the estimated fair value are accreted to research and development expense over the service period of the collaboration agreement. Factors that may lead to increases or decreases in the estimated fair value of this liability include, among others, changes in the value of the common stock, changes in volatility and changes in the risk-free rate. As a result, our operating results and financial condition as reported by GAAP may fluctuate significantly from quarter to quarter and from year to year and may reduce the usefulness of our GAAP consolidated financial statements. As of June 30, 2021 and December 31, 2020, the estimated fair values of the liabilities associated with the Fred Hutch success payments were $24.9 million and $8.0 million, respectively, and as of June 30, 2021 and December 31, 2020, the estimated fair values of the liabilities associated with the Stanford success payments were $25.8 million and $8.9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347"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b w:val="1"/>
          <w:bCs w:val="1"/>
          <w:i w:val="1"/>
          <w:iCs w:val="1"/>
          <w:color w:val="auto"/>
        </w:rPr>
        <w:t>We are early in our research and development efforts and all of our product candidates are still in preclinical development. If we are unable to successfully develop and commercialize product candidates or experience significant delays in doing so, our business may be harmed.</w:t>
      </w:r>
    </w:p>
    <w:p>
      <w:pPr>
        <w:spacing w:after="0" w:line="300"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We are early in our research and development efforts, and all of our product candidates are still in preclinical development. We have not yet demonstrated our ability to successfully commence or complete any clinical trials (including Phase 3 or other pivotal clinical trials), obtain regulatory approvals, manufacture a commercial scale product or arrange for a third party to do so on our behalf, or conduct sales and marketing activities necessary for successful product commercialization. We have invested substantial resources in developing our technology platforms and our product candidates, conducting preclinical studies, building our manufacturing facilities and capabilities and preparing for potential clinical trials, each of which will be required prior to any regulatory approval and commercialization. Our ability to generate revenue from product sales, which we do not expect will occur for several years, if ever, will depend heavily on the successful research and development and eventual commercialization of one or more product candidates. The success of our efforts to identify and develop product candidates will depend on many factors, including the following:</w:t>
      </w:r>
    </w:p>
    <w:p>
      <w:pPr>
        <w:spacing w:after="0" w:line="317" w:lineRule="exact"/>
        <w:rPr>
          <w:sz w:val="20"/>
          <w:szCs w:val="20"/>
          <w:color w:val="auto"/>
        </w:rPr>
      </w:pPr>
    </w:p>
    <w:p>
      <w:pPr>
        <w:ind w:left="900" w:right="240" w:hanging="143"/>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and successful completion of our preclinical studies and research activities to identify and develop product candidates to investigate in clinical trials;</w:t>
      </w:r>
    </w:p>
    <w:p>
      <w:pPr>
        <w:spacing w:after="0" w:line="305" w:lineRule="exact"/>
        <w:rPr>
          <w:rFonts w:ascii="Arial" w:cs="Arial" w:eastAsia="Arial" w:hAnsi="Arial"/>
          <w:sz w:val="18"/>
          <w:szCs w:val="18"/>
          <w:color w:val="auto"/>
        </w:rPr>
      </w:pPr>
    </w:p>
    <w:p>
      <w:pPr>
        <w:ind w:left="900" w:right="220" w:hanging="143"/>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Submission to proceed with clinical trials under INDs from the FDA, or comparable applications to foreign regulatory authorities that allow the commencement of our planned or future clinical trials for our product candidates;</w:t>
      </w:r>
    </w:p>
    <w:p>
      <w:pPr>
        <w:spacing w:after="0" w:line="305" w:lineRule="exact"/>
        <w:rPr>
          <w:rFonts w:ascii="Arial" w:cs="Arial" w:eastAsia="Arial" w:hAnsi="Arial"/>
          <w:sz w:val="18"/>
          <w:szCs w:val="18"/>
          <w:color w:val="auto"/>
        </w:rPr>
      </w:pPr>
    </w:p>
    <w:p>
      <w:pPr>
        <w:ind w:left="900" w:right="500" w:hanging="143"/>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completion of preclinical studies and successful enrollment and completion of clinical trials in compliance with Good Clinical Practice (GCP) requirements with positive results;</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any of our product candidates;</w:t>
      </w:r>
    </w:p>
    <w:p>
      <w:pPr>
        <w:spacing w:after="0" w:line="346" w:lineRule="exact"/>
        <w:rPr>
          <w:rFonts w:ascii="Arial" w:cs="Arial" w:eastAsia="Arial" w:hAnsi="Arial"/>
          <w:sz w:val="18"/>
          <w:szCs w:val="18"/>
          <w:color w:val="auto"/>
        </w:rPr>
      </w:pPr>
    </w:p>
    <w:p>
      <w:pPr>
        <w:ind w:left="900" w:right="100" w:hanging="143"/>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successfully developing or making arrangements with third parties for, manufacturing and distribution processes for our product candidates and for commercial manufacturing and distribution for any of our product candidates that receive regulatory approval;</w:t>
      </w:r>
    </w:p>
    <w:p>
      <w:pPr>
        <w:spacing w:after="0" w:line="281" w:lineRule="exact"/>
        <w:rPr>
          <w:rFonts w:ascii="Arial" w:cs="Arial" w:eastAsia="Arial" w:hAnsi="Arial"/>
          <w:sz w:val="17"/>
          <w:szCs w:val="17"/>
          <w:color w:val="auto"/>
        </w:rPr>
      </w:pPr>
    </w:p>
    <w:p>
      <w:pPr>
        <w:ind w:left="900" w:hanging="14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timely regulatory approvals from applicable authorities for our product candidates for their intended uses;</w:t>
      </w:r>
    </w:p>
    <w:p>
      <w:pPr>
        <w:spacing w:after="0" w:line="346" w:lineRule="exact"/>
        <w:rPr>
          <w:rFonts w:ascii="Arial" w:cs="Arial" w:eastAsia="Arial" w:hAnsi="Arial"/>
          <w:sz w:val="18"/>
          <w:szCs w:val="18"/>
          <w:color w:val="auto"/>
        </w:rPr>
      </w:pPr>
    </w:p>
    <w:p>
      <w:pPr>
        <w:ind w:left="900" w:right="20" w:hanging="143"/>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including by obtaining and maintaining patent and trade secret protection and regulatory exclusivity for our product candidates;</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or making arrangements with third-party manufacturers or completing our own manufacturing facility for clinical and</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commercial manufacturing purposes;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45" w:name="page46"/>
    <w:bookmarkEnd w:id="45"/>
    <w:p>
      <w:pPr>
        <w:ind w:left="900" w:right="640" w:hanging="143"/>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capabilities and infrastructure to obtain the tumor tissues needed to develop and, if successful, commercialize approved products from our TIL program;</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our product candidates at an acceptable cost;</w:t>
      </w:r>
    </w:p>
    <w:p>
      <w:pPr>
        <w:spacing w:after="0" w:line="346" w:lineRule="exact"/>
        <w:rPr>
          <w:rFonts w:ascii="Arial" w:cs="Arial" w:eastAsia="Arial" w:hAnsi="Arial"/>
          <w:sz w:val="18"/>
          <w:szCs w:val="18"/>
          <w:color w:val="auto"/>
        </w:rPr>
      </w:pPr>
    </w:p>
    <w:p>
      <w:pPr>
        <w:ind w:left="900" w:right="360" w:hanging="143"/>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commercial sales of our products, if approved by applicable regulatory authorities, whether alone or in collaboration with others;</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our products, if approved by applicable regulatory authorities, by patients and the medical community;</w:t>
      </w:r>
    </w:p>
    <w:p>
      <w:pPr>
        <w:spacing w:after="0" w:line="346" w:lineRule="exact"/>
        <w:rPr>
          <w:rFonts w:ascii="Arial" w:cs="Arial" w:eastAsia="Arial" w:hAnsi="Arial"/>
          <w:sz w:val="18"/>
          <w:szCs w:val="18"/>
          <w:color w:val="auto"/>
        </w:rPr>
      </w:pPr>
    </w:p>
    <w:p>
      <w:pPr>
        <w:ind w:left="900" w:right="400" w:hanging="143"/>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coverage and adequate reimbursement by third-party payors, including government payors, for our products, if approved by applicable regulatory authorities;</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marketed therapies;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the cGMP requirements;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 continued acceptable benefit/risk profile of the products following approval; and</w:t>
      </w:r>
    </w:p>
    <w:p>
      <w:pPr>
        <w:spacing w:after="0" w:line="346" w:lineRule="exact"/>
        <w:rPr>
          <w:rFonts w:ascii="Arial" w:cs="Arial" w:eastAsia="Arial" w:hAnsi="Arial"/>
          <w:sz w:val="18"/>
          <w:szCs w:val="18"/>
          <w:color w:val="auto"/>
        </w:rPr>
      </w:pPr>
    </w:p>
    <w:p>
      <w:pPr>
        <w:ind w:left="900" w:right="320" w:hanging="143"/>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and growing an organization of scientists and functional experts who can develop and commercialize our products and technology.</w:t>
      </w:r>
    </w:p>
    <w:p>
      <w:pPr>
        <w:spacing w:after="0" w:line="30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could harm our business. If we do not receive marketing approvals for any product candidate we develop, we may not be able to continue our operations.</w:t>
      </w:r>
    </w:p>
    <w:p>
      <w:pPr>
        <w:spacing w:after="0" w:line="289"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Our product candidates and technology platforms are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use and expand our technology platforms to build a pipeline of product candidates.</w:t>
      </w:r>
    </w:p>
    <w:p>
      <w:pPr>
        <w:spacing w:after="0" w:line="305"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We are seeking to identify and develop a broad pipeline of product candidates using our proprietary technology platforms. We have not commenced clinical trials for any product candidates developed with these platforms. The scientific research that forms the basis of our efforts to develop product candidates with our technology platforms is still ongoing. We are not aware of any FDA approved therapeutics utilizing similar technology. Further, the scientific evidence to support the feasibility of developing therapeutic treatments based on our technology platforms are both preliminary and limited. Additionally, we have not tested any of the product candidates in humans, and our current data is limited to animal models and preclinical cell lines, the results of which may not translate into humans or may not accurately predict the safety and efficacy of our product candidates in humans. As a result, we are exposed to a number of unforeseen risks and it is difficult to predict the types of challenges and risks that we may encounter during development of our product candidates.</w:t>
      </w:r>
    </w:p>
    <w:p>
      <w:pPr>
        <w:spacing w:after="0" w:line="31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Given the novelty of our technology platforms, we intend to work closely with the FDA and comparable foreign regulatory authorities to perform the requisite scientific analyses and evaluation of our methods to obtain regulatory approval for our product candidates; however, due to a lack of relevant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technology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There can be no assurance as to the length of clinical development, the number of patients that the FDA may require to be enrolled in clinical trials to establish the safety, purity and potency of our product candidates, or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6" w:name="page47"/>
    <w:bookmarkEnd w:id="46"/>
    <w:p>
      <w:pPr>
        <w:ind w:right="80"/>
        <w:spacing w:after="0" w:line="277" w:lineRule="auto"/>
        <w:rPr>
          <w:sz w:val="20"/>
          <w:szCs w:val="20"/>
          <w:color w:val="auto"/>
        </w:rPr>
      </w:pPr>
      <w:r>
        <w:rPr>
          <w:rFonts w:ascii="Arial" w:cs="Arial" w:eastAsia="Arial" w:hAnsi="Arial"/>
          <w:sz w:val="18"/>
          <w:szCs w:val="18"/>
          <w:color w:val="auto"/>
        </w:rPr>
        <w:t>acceptability to the FDA of data generated in these clinical trials to support marketing approvals. We cannot be certain that our approach will lead to the development of approvable or marketable products, alone or in combination with other therapies.</w:t>
      </w:r>
    </w:p>
    <w:p>
      <w:pPr>
        <w:spacing w:after="0" w:line="283"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28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manufacturing, scientific and medical personnel. The loss of the services of any of our executive officers, other key employees, and other scientific and medical advisors, and our inability to find suitable replacements could result in delays in product development and harm our business. We conduct substantially all of our operations at our facilities in the San Francisco and Seattle metropolitan areas. These regions are headquarters to many other biopharmaceutical companies and many academic and research institutions. Competition for skilled personnel in these markets is intense and may limit our ability to hire and retain highly qualified personnel on acceptable terms or at all. To induce valuable employees to remain at our company, in addition to salary and cash incentives, we have provided stock options that vest over time. The value to employees of stock options or other equity incentives that vest over time may be significantly affected by factors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or adversarial proceedings against us could be costly and time-consuming to defend.</w:t>
      </w:r>
    </w:p>
    <w:p>
      <w:pPr>
        <w:spacing w:after="0" w:line="3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may in the future become subject to legal proceedings and claims that arise in the ordinary course of business, such as claims brought by third parties in connection with commercial disputes or employment claims made by our current or former employees. Litigation or adversarial proceedings might result in substantial costs and may divert management’s attention and resources, which might seriously harm our business, reputation,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36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believe our culture has been a key contributor to our success to date. Any failure to preserve our culture could negatively affect our ability to retain and recruit personnel, which is critical to our growth, and to effectively focus on and pursue our objectives. As we grow and are required to implement more complex organizational management structures, we may find it increasingly difficult to maintain the beneficial aspects of our culture. If we fail to maintain our company culture, our business may be adversely affected.</w:t>
      </w:r>
    </w:p>
    <w:p>
      <w:pPr>
        <w:spacing w:after="0" w:line="292"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b w:val="1"/>
          <w:bCs w:val="1"/>
          <w:i w:val="1"/>
          <w:iCs w:val="1"/>
          <w:color w:val="auto"/>
        </w:rPr>
        <w:t>We currently have no marketing, sales, or distribution infrastructure and we intend to either establish a sales and marketing infrastructure or outsource this function to a third party. Either of these commercialization strategies carries substantial risks to us.</w:t>
      </w:r>
    </w:p>
    <w:p>
      <w:pPr>
        <w:spacing w:after="0" w:line="300"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We currently have no marketing, sales and distribution capabilities because all of our product candidates are still in preclinical development. If any of our product candidates complete clinical development and are approved, we intend to either establish a sales and marketing organization with technical expertise and supporting distribution capabilities to commercialize our product candidates in a legally compliant manner, or to outsource this function to a third party. There are risks involved if we decide to establish our own sales and marketing capabilities or enter into arrangements with third parties to perform these services. To the extent that we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7" w:name="page48"/>
    <w:bookmarkEnd w:id="47"/>
    <w:p>
      <w:pPr>
        <w:ind w:right="120"/>
        <w:spacing w:after="0" w:line="294" w:lineRule="auto"/>
        <w:rPr>
          <w:sz w:val="20"/>
          <w:szCs w:val="20"/>
          <w:color w:val="auto"/>
        </w:rPr>
      </w:pPr>
      <w:r>
        <w:rPr>
          <w:rFonts w:ascii="Arial" w:cs="Arial" w:eastAsia="Arial" w:hAnsi="Arial"/>
          <w:sz w:val="17"/>
          <w:szCs w:val="17"/>
          <w:color w:val="auto"/>
        </w:rPr>
        <w:t>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w:t>
      </w:r>
    </w:p>
    <w:p>
      <w:pPr>
        <w:spacing w:after="0" w:line="294"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 which would have a material adverse effect on our business, financial condition and results of operations.</w:t>
      </w:r>
    </w:p>
    <w:p>
      <w:pPr>
        <w:spacing w:after="0" w:line="292"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b w:val="1"/>
          <w:bCs w:val="1"/>
          <w:i w:val="1"/>
          <w:iCs w:val="1"/>
          <w:color w:val="auto"/>
        </w:rPr>
        <w:t>Our business could be adversely affected by the effects of health epidemics, including the COVID-19 pandemic, in regions where we or third parties on which we rely have significant manufacturing facilities, concentrations of potential clinical trial sites or other business operations.</w:t>
      </w:r>
    </w:p>
    <w:p>
      <w:pPr>
        <w:spacing w:after="0" w:line="30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business could be adversely affected by health epidemics, including the COVID-19 pandemic, in regions where we or third parties on which we rely have significant manufacturing facilities, concentrations of potential clinical trial sites or other business operations.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curtailed or suspended.</w:t>
      </w:r>
    </w:p>
    <w:p>
      <w:pPr>
        <w:spacing w:after="0" w:line="31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could materially and adversely affect our operations. Following guidance from federal, state and local authorities, we have implemented policies that enable some of our employees to work in the research laboratories and for other employees to work remotely, and such policies may continue for an indefinite period. We have also implemented various safety protocols for all on-site personnel, including requiring that each employee who enters a facility agree to comply with social distancing, frequent hand washing and that each employee wear masks. In connection with these and potential future measures, we may be subject to claims based upon, arising out of or related to COVID-19 and our actions and responses thereto, including any determinations that we have made and may make in the future with respect to our on-site operations. Further, the effects of current and future governmental shelter-in-place orders and our remote work policies may materially and adversely impact productivity, disrupt our business and delay our preclinical study and future clinical trial plans, the magnitude of which will depend, in part, on the length and severity of the restrictions and other limitations on our ability to conduct our business in the ordinary course. We continue to evaluate the impact that the evolving effects of the COVID-19 pandemic may have on our ability to effectively conduct our business operations as planned, and while to date, we have not experienced delays in our discovery and development activities as a result of the COVID-19 pandemic, there can be no assurance that we will be able to avoid materially adverse impacts from the evolving effects of the COVID-19 pandemic. For example, our preclinical study and future clinical trial plans may be materially and adversely affected by the COVID-19 pandemic. In this regard, site initiation and patient enrollment may be delayed due to prioritization of hospital resources toward the COVID-19 pandemic, which may delay enrollment in our future global clinical trials, and some patients may not be able to comply with clinical trial protocols if quarantines impede patient movement or interrupt healthcare services, and we may be unable to obtain blood samples for testing.</w:t>
      </w:r>
    </w:p>
    <w:p>
      <w:pPr>
        <w:spacing w:after="0" w:line="32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extent of the impact of the COVID-19 pandemic on our business, operations and development timelines and plans remains uncertain and will depend on future developments that cannot be predicted at this time. Such developments include the continued spread of the Delta variant in the U.S. and other countries and the potential emergence of other SARS-CoV-2 variants that may prove especially contagious or virulent, the ultimate duration of the pandemic and the resulting impact on our clinical trial plans, CROs, contract manufacturing organizations and other third parties with whom we do business, as well as its impact on regulatory authorities and our key scientific and management personnel, and the effectiveness of actions taken globally to contain and treat the disease, including the rate at which vaccinations are made available, the percentage of the population that becomes vaccinated and the effectiveness of the vaccines against Delta or other SARS-CoV-2 variants. We do not yet know the full extent of potential delays or impacts on our business, our planned preclinical studies or clinical trials, healthcare systems or the global economy as a whole. The foregoing and other continued disruptions to our business as a result of the evolving effects of the COVID-19 pandemic could materially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8" w:name="page49"/>
    <w:bookmarkEnd w:id="48"/>
    <w:p>
      <w:pPr>
        <w:ind w:right="140"/>
        <w:spacing w:after="0" w:line="277" w:lineRule="auto"/>
        <w:rPr>
          <w:sz w:val="20"/>
          <w:szCs w:val="20"/>
          <w:color w:val="auto"/>
        </w:rPr>
      </w:pPr>
      <w:r>
        <w:rPr>
          <w:rFonts w:ascii="Arial" w:cs="Arial" w:eastAsia="Arial" w:hAnsi="Arial"/>
          <w:sz w:val="18"/>
          <w:szCs w:val="18"/>
          <w:color w:val="auto"/>
        </w:rPr>
        <w:t>and adversely affect our business, results of operations, financial condition and cash flows. Furthermore, the evolving effects of the COVID-19 pandemic could heighten the risks in certain of the other risk factors described herein.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347" w:lineRule="exact"/>
        <w:rPr>
          <w:sz w:val="20"/>
          <w:szCs w:val="20"/>
          <w:color w:val="auto"/>
        </w:rPr>
      </w:pPr>
    </w:p>
    <w:p>
      <w:pPr>
        <w:ind w:right="400"/>
        <w:spacing w:after="0" w:line="284" w:lineRule="auto"/>
        <w:rPr>
          <w:sz w:val="20"/>
          <w:szCs w:val="20"/>
          <w:color w:val="auto"/>
        </w:rPr>
      </w:pPr>
      <w:r>
        <w:rPr>
          <w:rFonts w:ascii="Arial" w:cs="Arial" w:eastAsia="Arial" w:hAnsi="Arial"/>
          <w:sz w:val="18"/>
          <w:szCs w:val="18"/>
          <w:b w:val="1"/>
          <w:bCs w:val="1"/>
          <w:i w:val="1"/>
          <w:iCs w:val="1"/>
          <w:color w:val="auto"/>
        </w:rPr>
        <w:t>We intend to manufacture at least a portion of our product candidates ourselves. Delays in commissioning and receiving regulatory approvals for our manufacturing facility could delay our development plans and thereby limit our ability to generate product revenues.</w:t>
      </w:r>
    </w:p>
    <w:p>
      <w:pPr>
        <w:spacing w:after="0" w:line="300"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We have built our own manufacturing facility in Bothell, Washington. The facility is expected to support preclinical and development product candidates, and product-specific qualification to support clinical production is needed. If we are not able to qualify a specific product candidate or the appropriate regulatory approvals for the new facility are delayed, we may be unable to manufacture sufficient quantities of our product candidates, if at all, which would limit our development activities and our opportunities for growth.</w:t>
      </w:r>
    </w:p>
    <w:p>
      <w:pPr>
        <w:spacing w:after="0" w:line="31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our manufacturing facility will be subject to ongoing, periodic inspection by the FDA, EMA, or other applicable regulatory agencies to ensure compliance with cGMPs and current Good Tissue Practices (cGTPs). Our failure to follow and document our adherence to these regulations or other regulatory requirements may lead to significant delays in the availability of products for clinical or, in the future, commercial use. This may result in the termination of or a hold on a clinical trial, or may delay or prevent filing or approval of commercial marketing applications for our product candidates. We also may encounter problems with the following:</w:t>
      </w:r>
    </w:p>
    <w:p>
      <w:pPr>
        <w:spacing w:after="0" w:line="316" w:lineRule="exact"/>
        <w:rPr>
          <w:sz w:val="20"/>
          <w:szCs w:val="20"/>
          <w:color w:val="auto"/>
        </w:rPr>
      </w:pPr>
    </w:p>
    <w:p>
      <w:pPr>
        <w:ind w:left="900" w:right="620" w:hanging="14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of qualified personnel, raw materials or key contractors; and</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ongoing compliance with cGMP regulations and other requirements of the FDA, EMA, or other comparable regulatory agencies.</w:t>
      </w:r>
    </w:p>
    <w:p>
      <w:pPr>
        <w:spacing w:after="0" w:line="34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harm our business.</w:t>
      </w:r>
    </w:p>
    <w:p>
      <w:pPr>
        <w:spacing w:after="0" w:line="314"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Developing advanced manufacturing techniques and process controls is required to fully utilize our facility. Without further investment, advances in manufacturing techniques may render our facility and equipment inadequate or obsolete. We may also require further investment to build additional manufacturing facilities or expand the capacity of our existing ones.</w:t>
      </w:r>
    </w:p>
    <w:p>
      <w:pPr>
        <w:spacing w:after="0" w:line="289"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i w:val="1"/>
          <w:iCs w:val="1"/>
          <w:color w:val="auto"/>
        </w:rPr>
        <w:t>The manufacturing of cellular therapies is very complex. We are subject to a multitude of manufacturing risks, any of which could substantially increase our costs, delay our programs or limit supply of our product candidates.</w:t>
      </w:r>
    </w:p>
    <w:p>
      <w:pPr>
        <w:spacing w:after="0" w:line="28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Developing commercially viable manufacturing processes for cellular therapies is a difficult and uncertain task and requires significant expertise and capital investment. We are still in the early stages of developing and implementing manufacturing processes for our product candidates. In particular, for autologous cell therapies the starting material is the patient’s own cells, which inherently adds complexity and variability to the manufacturing process, and we have not yet manufactured a cellular therapy for a patient with cancer. In addition, we have only recently completed construction of our Bothell, Washington manufacturing facility and have not commenced any clinical scale operations. Our ability to consistently and reliably manufacture our cellular therapy product candidates is essential to our success, and there are risks associated with scaling to the level required for advanced clinical trials or commercialization, including cost overruns, potential problems with process scale-up, process reproducibility, stability issues, consistency and timely availability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9" w:name="page50"/>
    <w:bookmarkEnd w:id="49"/>
    <w:p>
      <w:pPr>
        <w:ind w:right="280"/>
        <w:spacing w:after="0" w:line="277" w:lineRule="auto"/>
        <w:rPr>
          <w:sz w:val="20"/>
          <w:szCs w:val="20"/>
          <w:color w:val="auto"/>
        </w:rPr>
      </w:pPr>
      <w:r>
        <w:rPr>
          <w:rFonts w:ascii="Arial" w:cs="Arial" w:eastAsia="Arial" w:hAnsi="Arial"/>
          <w:sz w:val="18"/>
          <w:szCs w:val="18"/>
          <w:color w:val="auto"/>
        </w:rPr>
        <w:t>reagents or raw materials. Furthermore, our manufacturing processes may have significant dependencies on third parties, which will pose additional risks to our manufacturing capabilities.</w:t>
      </w:r>
    </w:p>
    <w:p>
      <w:pPr>
        <w:spacing w:after="0" w:line="30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Additionally, 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w:t>
      </w:r>
    </w:p>
    <w:p>
      <w:pPr>
        <w:spacing w:after="0" w:line="31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In addition to the factors mentioned above, the overall process of manufacturing cellular therapies is extremely susceptible to product loss due to low cell viability, contamination, equipment failure or improper installation or operation of equipment, or vendor or operator error. Even minor deviations from normal manufacturing and distribution processes for any of our product candidates could result in reduced production yields, impact to key product quality attributes and other supply disruptions. Product defects can also occur unexpectedly. These deviations and disruptions could delay our programs. If we are not able to capably manage this complexity and variability, our ability to timely and successfully provide our products candidates to patients could be delayed. In addition, the complexities of utilizing a patient’s own cells as the starting material requires that we have suitable cells capable of yielding a viable cellular therapy product, which may not be possible for severely immune-compromised or heavily pre-treated patients.</w:t>
      </w:r>
    </w:p>
    <w:p>
      <w:pPr>
        <w:spacing w:after="0" w:line="31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process of successfully manufacturing products for clinical testing and commercialization may be particularly challenging, even if such products otherwise prove to be safe and effective. The manufacture of these product candidates involves complex processes. Some of these processes require specialized equipment and highly skilled and trained personnel. The process of manufacturing these product candidates will be susceptible to additional risks, given the need to maintain aseptic conditions throughout the manufacturing process. Contamination with microbials, viruses or other pathogens in either the donor material or materials utilized in the manufacturing process or ingress of microbiological material at any point in the process may result in contaminated, unusable product or necessitate the closing of a manufacturing facility for an extended period of time to allow us to investigate and remedy the contamination. These types of contaminations could result in delays in the manufacture of products, which could result in delays in the development of our product candidates. These contaminations could also increase the risk of adverse side effects.</w:t>
      </w:r>
    </w:p>
    <w:p>
      <w:pPr>
        <w:spacing w:after="0" w:line="31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Any adverse developments affecting manufacturing operations for our product candidates may result in lot failures, inventory shortages, shipment delays, product withdrawals or recalls or other interruptions in supply that could delay the development of our product candidates. If we are unable to obtain sufficient supply of our product candidates, whether due to production shortages or other supply interruptions resulting from the ongoing COVID-19 pandemic or otherwise, our clinical trials or regulatory approval may be delayed. We may also have to write off inventory, incur other charges and expenses for supply of product that fails to meet specifications, undertake costly remediation efforts, or seek more costly manufacturing alternatives. In addition, parts of the supply chain may have long lead times or may come from a small number of suppliers. If we are not able to appropriately manage our supply chain our ability to successfully produce our product candidates could be delayed or harmed. Inability to meet the demand for our product candidates could damage our reputation and the reputation of our products among physicians, healthcare payors, patients or the medical community that supports our product development efforts, including hospitals and outpatient clinics.</w:t>
      </w:r>
    </w:p>
    <w:p>
      <w:pPr>
        <w:spacing w:after="0" w:line="31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Furthermore, the manufacturing facilities in which our product candidates will be made could be adversely affected by earthquakes and other natural disasters, equipment failures, labor shortages, power failures, health epidemics and numerous other factors. If any of these events were to occur and impact our manufacturing facilities, our business would be materially and adversely affected.</w:t>
      </w:r>
    </w:p>
    <w:p>
      <w:pPr>
        <w:spacing w:after="0" w:line="289"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b w:val="1"/>
          <w:bCs w:val="1"/>
          <w:i w:val="1"/>
          <w:iCs w:val="1"/>
          <w:color w:val="auto"/>
        </w:rPr>
        <w:t>If our sole clinical or commercial manufacturing facility or our contract manufacturing organization is damaged or destroyed or production at these facilities is otherwise interrupted, our business would be negatively affected.</w:t>
      </w:r>
    </w:p>
    <w:p>
      <w:pPr>
        <w:spacing w:after="0" w:line="28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If any manufacturing facility in our manufacturing network, or the equipment in these facilities, is either damaged or destroyed, we may not be able to quickly or inexpensively replace our manufacturing capacity, if we are able to replace it at all. In the event of a temporary or protracted loss of a facility or its equipment, we may not be able to transfer manufacturing to a third party in the time required to maintain supply. Even if we could transfer manufacturing to a third party, the shift would likely be expensive and time-consuming, particularly since the new facility would need to comply with the necessary regulatory requirements or may require regulatory approval before selling any products manufactured at that facility. Such an event could substantially delay our clinical trials or commercialization of our product candidates.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50" w:name="page51"/>
    <w:bookmarkEnd w:id="50"/>
    <w:p>
      <w:pPr>
        <w:spacing w:after="0" w:line="269" w:lineRule="auto"/>
        <w:rPr>
          <w:sz w:val="20"/>
          <w:szCs w:val="20"/>
          <w:color w:val="auto"/>
        </w:rPr>
      </w:pPr>
      <w:r>
        <w:rPr>
          <w:rFonts w:ascii="Arial" w:cs="Arial" w:eastAsia="Arial" w:hAnsi="Arial"/>
          <w:sz w:val="18"/>
          <w:szCs w:val="18"/>
          <w:color w:val="auto"/>
        </w:rPr>
        <w:t>Currently, we maintain insurance coverage against damage to our property and to cover business interruption and research and development restoration expenses. However, our insurance coverage may not reimburse us, or may not be sufficient to reimburse us, for any expenses or losses we may suffer. We may be unable to meet our requirements for our product candidates if there were a catastrophic event or failure of our current manufacturing facility or processes.</w:t>
      </w:r>
    </w:p>
    <w:p>
      <w:pPr>
        <w:spacing w:after="0" w:line="292" w:lineRule="exact"/>
        <w:rPr>
          <w:sz w:val="20"/>
          <w:szCs w:val="20"/>
          <w:color w:val="auto"/>
        </w:rPr>
      </w:pPr>
    </w:p>
    <w:p>
      <w:pPr>
        <w:ind w:right="220"/>
        <w:spacing w:after="0" w:line="284" w:lineRule="auto"/>
        <w:rPr>
          <w:sz w:val="20"/>
          <w:szCs w:val="20"/>
          <w:color w:val="auto"/>
        </w:rPr>
      </w:pPr>
      <w:r>
        <w:rPr>
          <w:rFonts w:ascii="Arial" w:cs="Arial" w:eastAsia="Arial" w:hAnsi="Arial"/>
          <w:sz w:val="18"/>
          <w:szCs w:val="18"/>
          <w:b w:val="1"/>
          <w:bCs w:val="1"/>
          <w:i w:val="1"/>
          <w:iCs w:val="1"/>
          <w:color w:val="auto"/>
        </w:rPr>
        <w:t>If we are unable to develop or scale our own manufacturing, we may have to rely on third parties to manufacture our product candidates, which subjects us to risks and could delay or prevent our development and/or commercialization, if approved, of our product candidates.</w:t>
      </w:r>
    </w:p>
    <w:p>
      <w:pPr>
        <w:spacing w:after="0" w:line="300"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If we are unable to develop or scale or own manufacturing capabilities for our product candidates, we will be reliant on third parties to manufacture our product candidates. We may be unable to identify manufacturers for our product candidates or the materials required to develop the cellular therapy on acceptable terms or at all because the number of potential manufacturers is limited. Engaging a third party manufacturer will require testing and regulatory interactions, and a new manufacturer would have to be educated in, or develop substantially equivalent processes for, production of our products after receipt of FDA questions, if any. Our third-party manufacturers may be unable to timely formulate and manufacture our product or produce the quantity and quality required to meet our clinical and commercial needs, if any.</w:t>
      </w:r>
    </w:p>
    <w:p>
      <w:pPr>
        <w:spacing w:after="0" w:line="298"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Furthermore, the facilities used by manufacturers are subject to ongoing periodic unannounced inspections by the FDA and corresponding state agencies to ensure strict compliance with government regulations and corresponding foreign standards, and we do not have control over third-party manufacturers’ compliance with cGMPs for the manufacture of our product candidates. If our contract manufacturers cannot successfully manufacture material that conforms to our specifications and the strict regulatory requirements of the FDA or others, we will not be able to obtain and/or maintain regulatory approval for our product candidates manufactured in these facilities. In addition, we have no control over the ability of our third-party manufacturers to maintain adequate control, quality assurance and qualified personnel required to meet our clinical and commercial needs, if any. If the FDA or a comparable foreign regulatory authority does not approve the manufacture of our product candidates at these facilities or if it withdraws any such approval in the future, we may need to find alternative manufacturing facilities, which would significantly impact our ability to develop, obtain regulatory approval for or market our product candidates, if approved. In addition, any failure to achieve and maintain compliance with these laws, regulations and standards could subject us to the risk that we may have to suspend the manufacturing of our product candidates or that any approvals we have obtained could be revoked, which would adversely affect our business and reputation.</w:t>
      </w:r>
    </w:p>
    <w:p>
      <w:pPr>
        <w:spacing w:after="0" w:line="3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 Also, our third- party manufacturers could breach or terminate their agreement with us because of their own financial difficulties or business priorities, at a time that is costly or otherwise inconvenient for us. If we were unable to find adequate replacement or another acceptable solution in time, our clinical trials could be delayed or our commercial activities could be harmed.</w:t>
      </w:r>
    </w:p>
    <w:p>
      <w:pPr>
        <w:spacing w:after="0" w:line="31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Furthermore, our third-party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w:t>
      </w:r>
    </w:p>
    <w:p>
      <w:pPr>
        <w:spacing w:after="0" w:line="289"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b w:val="1"/>
          <w:bCs w:val="1"/>
          <w:i w:val="1"/>
          <w:iCs w:val="1"/>
          <w:color w:val="auto"/>
        </w:rPr>
        <w:t>Cell-based therapies rely on the availability of specialty raw materials, which may not be available to us on acceptable terms or at all.</w:t>
      </w:r>
    </w:p>
    <w:p>
      <w:pPr>
        <w:spacing w:after="0" w:line="28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Our product candidates require many specialty raw materials. As a result, we may be required to outsource aspects of our manufacturing supply chain. Many of the specialty raw materials may be manufactured by small companies with limited resources and experience to support a commercial product, and the suppliers may not be able to deliver raw materials to our specifications.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may not be able to develop, manufacture and market our product candidates in a timely and competitive manner, or at all. An inability to continue to source product from any of these suppliers, which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1" w:name="page52"/>
    <w:bookmarkEnd w:id="51"/>
    <w:p>
      <w:pPr>
        <w:ind w:right="280"/>
        <w:spacing w:after="0" w:line="269" w:lineRule="auto"/>
        <w:rPr>
          <w:sz w:val="20"/>
          <w:szCs w:val="20"/>
          <w:color w:val="auto"/>
        </w:rPr>
      </w:pPr>
      <w:r>
        <w:rPr>
          <w:rFonts w:ascii="Arial" w:cs="Arial" w:eastAsia="Arial" w:hAnsi="Arial"/>
          <w:sz w:val="18"/>
          <w:szCs w:val="18"/>
          <w:color w:val="auto"/>
        </w:rPr>
        <w:t>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31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those suppliers may not have the capacity to support commercial products manufactured by biopharmaceutical firms. The suppliers may be ill-equipped to support our needs, especially in non-routine circumstances like an FDA inspection, or medical crises such as widespread contamination. We may not be able to contract with these companies on acceptable terms or at all. Accordingly, we may experience delays in receiving key raw materials to support clinical or commercial manufacturing. 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These factors could cause the delay of studies or trials, regulatory submissions, required approvals or commercialization of product candidates that we develop, cause us to incur higher costs and prevent us from commercializing our product candidates successfully.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Third-Parties</w:t>
      </w:r>
    </w:p>
    <w:p>
      <w:pPr>
        <w:spacing w:after="0" w:line="347" w:lineRule="exact"/>
        <w:rPr>
          <w:sz w:val="20"/>
          <w:szCs w:val="20"/>
          <w:color w:val="auto"/>
        </w:rPr>
      </w:pPr>
    </w:p>
    <w:p>
      <w:pPr>
        <w:jc w:val="both"/>
        <w:ind w:right="140"/>
        <w:spacing w:after="0" w:line="303" w:lineRule="auto"/>
        <w:rPr>
          <w:sz w:val="20"/>
          <w:szCs w:val="20"/>
          <w:color w:val="auto"/>
        </w:rPr>
      </w:pPr>
      <w:r>
        <w:rPr>
          <w:rFonts w:ascii="Arial" w:cs="Arial" w:eastAsia="Arial" w:hAnsi="Arial"/>
          <w:sz w:val="18"/>
          <w:szCs w:val="18"/>
          <w:b w:val="1"/>
          <w:bCs w:val="1"/>
          <w:i w:val="1"/>
          <w:iCs w:val="1"/>
          <w:color w:val="auto"/>
        </w:rPr>
        <w:t>We intend to rely on third parties to conduct our clinical trials. If these third parties do not successfully carry out their contractual duties or meet expected deadlines, we may not be able to obtain regulatory approval of or commercialize our product candidates.</w:t>
      </w:r>
    </w:p>
    <w:p>
      <w:pPr>
        <w:spacing w:after="0" w:line="282"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We do not currently have the ability to independently conduct any clinical trials. We intend to rely on medical institutions, clinical investigators, contract laboratories and other third parties, such as contract research organizations (CROs), to conduct GCP-compliant clinical trials on our product candidates properly and on time. Negotiating budgets and contracts with CROs and study sites may result in delays to our development timelines and increased costs. While we will control only certain aspects of these third parties’ activities, nevertheless, we will be responsible for ensuring that each of our trials are conducted in accordance with applicable protocol, legal, regulatory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w:t>
      </w:r>
    </w:p>
    <w:p>
      <w:pPr>
        <w:spacing w:after="0" w:line="318"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product produced under cGMPs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30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Any third parties conducting our clinical trials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18"/>
          <w:szCs w:val="18"/>
          <w:color w:val="auto"/>
        </w:rPr>
        <w:t>If any of our relationships with trial sites or any CRO that we may use in the future terminates, we may not be able to enter into arrangements with alternative trial sites or CROs or do so on commercially reasonable terms. Switching or adding third parties to conduct clinical trials involves substantial cost and requires extensive management time and focus. In addition, there is a natural transition period when a new third party commences work. As a result, delays occur, which can materially impact our ability to meet desired clinical development timelines.</w:t>
      </w:r>
    </w:p>
    <w:p>
      <w:pPr>
        <w:spacing w:after="0" w:line="292"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i w:val="1"/>
          <w:iCs w:val="1"/>
          <w:color w:val="auto"/>
        </w:rPr>
        <w:t>We do and will continue to or intend to rely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harm our ability to leverage our technology platforms.</w:t>
      </w:r>
    </w:p>
    <w:p>
      <w:pPr>
        <w:spacing w:after="0" w:line="300"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We rely on our third-party research institution collaborators for some research capabilities. However, the research we are funding constitutes only a small portion of the overall research of each research institution. Other research being conducted by these institutions may at times receive higher priority than research on the programs we are funding. We typically have less control of the research, clinical trial protocols and patient enrollment than we might with activity led by our employees.</w:t>
      </w:r>
    </w:p>
    <w:p>
      <w:pPr>
        <w:spacing w:after="0" w:line="31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outside scientists who conduct the research and development upon which portions of our product candidate pipeline depends, are not our employees; rather, they serve as either independent contractors or the primary investigators under research collaboration agreements that we have with their sponsoring academic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These factors could adversely affect the timing of the clinical trials, the timing of receipt and reporting of clinical data, the timing of our IND submissions,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an adverse effect on, our business.</w:t>
      </w:r>
    </w:p>
    <w:p>
      <w:pPr>
        <w:spacing w:after="0" w:line="295" w:lineRule="exact"/>
        <w:rPr>
          <w:sz w:val="20"/>
          <w:szCs w:val="20"/>
          <w:color w:val="auto"/>
        </w:rPr>
      </w:pPr>
    </w:p>
    <w:p>
      <w:pPr>
        <w:ind w:right="380"/>
        <w:spacing w:after="0" w:line="284" w:lineRule="auto"/>
        <w:rPr>
          <w:sz w:val="20"/>
          <w:szCs w:val="20"/>
          <w:color w:val="auto"/>
        </w:rPr>
      </w:pPr>
      <w:r>
        <w:rPr>
          <w:rFonts w:ascii="Arial" w:cs="Arial" w:eastAsia="Arial" w:hAnsi="Arial"/>
          <w:sz w:val="18"/>
          <w:szCs w:val="18"/>
          <w:b w:val="1"/>
          <w:bCs w:val="1"/>
          <w:i w:val="1"/>
          <w:iCs w:val="1"/>
          <w:color w:val="auto"/>
        </w:rPr>
        <w:t>We have entered into a collaboration with GlaxoSmithKline (GSK) and may form or seek collaborations or strategic alliances or enter into additional licensing arrangements in the future, and we may not realize the benefits of such alliances or licensing arrangements.</w:t>
      </w:r>
    </w:p>
    <w:p>
      <w:pPr>
        <w:spacing w:after="0" w:line="30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have entered into a research and development collaboration with GSK for our NY-ESO-1 program and other potential product opportunities. In the future, we may also enter into additional license and collaboration arrangements. Any collaboration arrangement that we enter into is subject to numerous risks, which may include the following:</w:t>
      </w:r>
    </w:p>
    <w:p>
      <w:pPr>
        <w:spacing w:after="0" w:line="311" w:lineRule="exact"/>
        <w:rPr>
          <w:sz w:val="20"/>
          <w:szCs w:val="20"/>
          <w:color w:val="auto"/>
        </w:rPr>
      </w:pPr>
    </w:p>
    <w:p>
      <w:pPr>
        <w:ind w:left="900" w:right="420" w:hanging="14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collaborator has significant discretion in determining the efforts and resources that they will apply to a program or product candidate under the collaboration;</w:t>
      </w:r>
    </w:p>
    <w:p>
      <w:pPr>
        <w:spacing w:after="0" w:line="305" w:lineRule="exact"/>
        <w:rPr>
          <w:rFonts w:ascii="Arial" w:cs="Arial" w:eastAsia="Arial" w:hAnsi="Arial"/>
          <w:sz w:val="18"/>
          <w:szCs w:val="18"/>
          <w:color w:val="auto"/>
        </w:rPr>
      </w:pPr>
    </w:p>
    <w:p>
      <w:pPr>
        <w:ind w:left="900" w:right="300" w:hanging="143"/>
        <w:spacing w:after="0" w:line="26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collaborator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314" w:lineRule="exact"/>
        <w:rPr>
          <w:rFonts w:ascii="Arial" w:cs="Arial" w:eastAsia="Arial" w:hAnsi="Arial"/>
          <w:sz w:val="18"/>
          <w:szCs w:val="18"/>
          <w:color w:val="auto"/>
        </w:rPr>
      </w:pPr>
    </w:p>
    <w:p>
      <w:pPr>
        <w:jc w:val="both"/>
        <w:ind w:left="900" w:right="140" w:hanging="143"/>
        <w:spacing w:after="0" w:line="27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collaborator may delay clinical trials, provide insufficient funding for a clinical trial, preferentially enroll patients on a portion of a clinical trial not testing our product candidates, stop a clinical trial, abandon a product candidate, repeat or conduct new clinical trials, or require a new formulation of a product candidate for clinical testing;</w:t>
      </w:r>
    </w:p>
    <w:p>
      <w:pPr>
        <w:spacing w:after="0" w:line="311" w:lineRule="exact"/>
        <w:rPr>
          <w:rFonts w:ascii="Arial" w:cs="Arial" w:eastAsia="Arial" w:hAnsi="Arial"/>
          <w:sz w:val="18"/>
          <w:szCs w:val="18"/>
          <w:color w:val="auto"/>
        </w:rPr>
      </w:pPr>
    </w:p>
    <w:p>
      <w:pPr>
        <w:ind w:left="900" w:right="320" w:hanging="14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collaborator could independently develop, or develop with third parties, products that compete directly or indirectly with our products or product candidates;</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collaborator may not commit sufficient resources to marketing and distribution of our products;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3" w:name="page54"/>
    <w:bookmarkEnd w:id="53"/>
    <w:p>
      <w:pPr>
        <w:ind w:left="900" w:right="160" w:hanging="143"/>
        <w:spacing w:after="0" w:line="271"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collaborator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311" w:lineRule="exact"/>
        <w:rPr>
          <w:rFonts w:ascii="Arial" w:cs="Arial" w:eastAsia="Arial" w:hAnsi="Arial"/>
          <w:sz w:val="18"/>
          <w:szCs w:val="18"/>
          <w:color w:val="auto"/>
        </w:rPr>
      </w:pPr>
    </w:p>
    <w:p>
      <w:pPr>
        <w:ind w:left="900" w:right="120" w:hanging="143"/>
        <w:spacing w:after="0" w:line="271"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may arise between us and the collaborator that cause the delay or termination of the research, development or commercialization of our product candidates, or that result in costly litigation or arbitration that diverts management attention and resources;</w:t>
      </w:r>
    </w:p>
    <w:p>
      <w:pPr>
        <w:spacing w:after="0" w:line="311" w:lineRule="exact"/>
        <w:rPr>
          <w:rFonts w:ascii="Arial" w:cs="Arial" w:eastAsia="Arial" w:hAnsi="Arial"/>
          <w:sz w:val="18"/>
          <w:szCs w:val="18"/>
          <w:color w:val="auto"/>
        </w:rPr>
      </w:pPr>
    </w:p>
    <w:p>
      <w:pPr>
        <w:ind w:left="900" w:hanging="143"/>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collaboration may be terminated and, if terminated, may result in a need for additional capital to pursue further development or commercialization of the applicable product candidates; and</w:t>
      </w:r>
    </w:p>
    <w:p>
      <w:pPr>
        <w:spacing w:after="0" w:line="305" w:lineRule="exact"/>
        <w:rPr>
          <w:rFonts w:ascii="Arial" w:cs="Arial" w:eastAsia="Arial" w:hAnsi="Arial"/>
          <w:sz w:val="18"/>
          <w:szCs w:val="18"/>
          <w:color w:val="auto"/>
        </w:rPr>
      </w:pPr>
    </w:p>
    <w:p>
      <w:pPr>
        <w:ind w:left="900" w:right="160" w:hanging="143"/>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collaborator may own or co-own intellectual property covering our product candidates that results from our collaborating with them, and in such cases, we would not have the exclusive right to commercialize such intellectual property.</w:t>
      </w:r>
    </w:p>
    <w:p>
      <w:pPr>
        <w:spacing w:after="0" w:line="30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In particular, failure by GSK to meet each of its obligations under our collaboration agreement or failure by GSK to apply sufficient efforts at developing and commercializing collaboration products may adversely affect our business and our results of operations. GSK could independently develop, or develop with its other third party collaborators, products or product candidates that compete directly or indirectly with our products or product candidates and that could adversely impact GSK’s willingness to exercise an option under our collaboration or GSK’s level of diligence for our collaboration products for which it has exercised an option. Additionally, GSK’s exercise of an option for a program that includes a given product candidate may also lead to changes to clinical and regulatory development strategy for such product candidate, at GSK’s discretion, which may impact development timelines for such product candidate and may adversely affect the value of our stock. GSK will also require some level of assistance from us with respect to product candidates for which it exercises an option, and this assistance could be burdensome on our organization and resources and disrupt our own development and commercialization activities for product candidates for which we retain rights.</w:t>
      </w:r>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may form or seek further strategic alliances, create joint ventures or collaborations, or enter into additional licensing arrangements with third parties that we believe will complement or augment our development and commercialization efforts with respect to our product candidates, our research, and any future product candidates that we may pursue. Such alliances will be subject to many of the risks set forth above. Moreover,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w:t>
      </w:r>
    </w:p>
    <w:p>
      <w:pPr>
        <w:spacing w:after="0" w:line="314"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As a result of these risks, we may not be able to realize the benefit of our existing collaboration or any future collaborations or licensing agreements we may enter into.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of potential future collaborations, licenses, product acquisitions or other strategic transactions.</w:t>
      </w:r>
    </w:p>
    <w:p>
      <w:pPr>
        <w:spacing w:after="0" w:line="36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have entered into, and may desire to enter into in the future, collaborations, licenses or other strategic transactions for the acquisition of products or business opportunities, in each case where we believe such arrangement will complement or augment our existing business. These relationships or transactions, or those like them, may require us to incur nonrecurring and other charges, increase our near- and long-term expenditures, issue securities that dilute our existing stockholders, reduce the potential profitability of the products that are the subject of the relationship or disrupt our management and business. For example, we entered into a collaboration agreement and stock purchase agreement with PACT Pharma, Inc. (PACT) in June 2020 and, in February 2021, we filed a demand for arbitration seeking to, among other things, rescind the agreements with PACT and recover the consideration paid thereunder. In addition, we face significant competition in seeking appropriate strategic alliances and transactions and the negotiation process is time-consuming and complex and there can be no assurance that we can enter into any of these transactions even if we desire to do so. Moreover, we may not be successful in our efforts to establish a strategic alliance or other alternative arrangements for any future product candidates and programs because our research and development pipeline may be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54" w:name="page55"/>
    <w:bookmarkEnd w:id="54"/>
    <w:p>
      <w:pPr>
        <w:spacing w:after="0" w:line="269" w:lineRule="auto"/>
        <w:rPr>
          <w:sz w:val="20"/>
          <w:szCs w:val="20"/>
          <w:color w:val="auto"/>
        </w:rPr>
      </w:pPr>
      <w:r>
        <w:rPr>
          <w:rFonts w:ascii="Arial" w:cs="Arial" w:eastAsia="Arial" w:hAnsi="Arial"/>
          <w:sz w:val="18"/>
          <w:szCs w:val="18"/>
          <w:color w:val="auto"/>
        </w:rPr>
        <w:t>insufficient, our product candidates or programs may be deemed to be at too early a stage of development for collaborative effort and third parties may not view our product candidates and programs as having the requisite potential to demonstrate a positive benefit/risk profile. Any delays in entering into new strategic alliance agreements related to our product candidates could also delay the development and commercialization of our product candidates and reduce their competitiveness even if they reach the market.</w:t>
      </w:r>
    </w:p>
    <w:p>
      <w:pPr>
        <w:spacing w:after="0" w:line="31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we license products or acquire businesses, we may not be able to realize the benefit of these transactions if we are unable to successfully integrate them with our existing operations and company culture. There are other risks and uncertainties involved in these transactions, including unanticipated liabilities related to acquired intellectual property rights, products or companies and disruption in our relationship with collaborators or suppliers as a result of such a transaction. We cannot be certain that, following an acquisition or license, we will achieve the financial or strategic results that would justify the transaction.</w:t>
      </w:r>
    </w:p>
    <w:p>
      <w:pPr>
        <w:spacing w:after="0" w:line="294"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i w:val="1"/>
          <w:iCs w:val="1"/>
          <w:color w:val="auto"/>
        </w:rPr>
        <w:t>We will depend on enrollment and retention of patients in our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p>
    <w:p>
      <w:pPr>
        <w:spacing w:after="0" w:line="300"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Successful and timely completion of clinical trials will require that we enroll and retain a sufficient number of patient candidates. Any clinical trials we conduct may be subject to delays for a variety of reasons, including as a result of patient enrollment taking longer than anticipated, patient withdrawal, or adverse events. These types of developments could cause us to delay the trial or halt further development.</w:t>
      </w:r>
    </w:p>
    <w:p>
      <w:pPr>
        <w:spacing w:after="0" w:line="311"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Moreover, enrolling patients in clinical trials for diseases in which there is an approved standard of care is challenging, as patients will first receive the applicable standard of care. Many patients who respond positively to the standard of care do not enroll in clinical trials. This may limit the number of eligible patients able to enroll in our clinical trials who have the potential to benefit from our product candidates and could extend development timelines or increase costs for these programs. Patients who fail to respond positively to the standard of care treatment will be eligible for clinical trials of unapproved drug candidates. However, these prior treatment regimens may render our therapies less effective in clinical trials.</w:t>
      </w:r>
    </w:p>
    <w:p>
      <w:pPr>
        <w:spacing w:after="0" w:line="318"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depends on many factors, including:</w:t>
      </w:r>
    </w:p>
    <w:p>
      <w:pPr>
        <w:spacing w:after="0" w:line="347" w:lineRule="exact"/>
        <w:rPr>
          <w:sz w:val="20"/>
          <w:szCs w:val="20"/>
          <w:color w:val="auto"/>
        </w:rPr>
      </w:pPr>
    </w:p>
    <w:p>
      <w:pPr>
        <w:ind w:left="900" w:hanging="14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eligibility criteria for the trial;</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 of the clinical protocol;</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consents;</w:t>
      </w:r>
    </w:p>
    <w:p>
      <w:pPr>
        <w:spacing w:after="0" w:line="346" w:lineRule="exact"/>
        <w:rPr>
          <w:rFonts w:ascii="Arial" w:cs="Arial" w:eastAsia="Arial" w:hAnsi="Arial"/>
          <w:sz w:val="18"/>
          <w:szCs w:val="18"/>
          <w:color w:val="auto"/>
        </w:rPr>
      </w:pPr>
    </w:p>
    <w:p>
      <w:pPr>
        <w:ind w:left="900" w:right="140" w:hanging="143"/>
        <w:spacing w:after="0" w:line="26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evaluation, including any perceived risks associated with genetically modified product candidates;</w:t>
      </w: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55" w:name="page56"/>
    <w:bookmarkEnd w:id="55"/>
    <w:p>
      <w:pPr>
        <w:ind w:left="900" w:hanging="14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346" w:lineRule="exact"/>
        <w:rPr>
          <w:rFonts w:ascii="Arial" w:cs="Arial" w:eastAsia="Arial" w:hAnsi="Arial"/>
          <w:sz w:val="18"/>
          <w:szCs w:val="18"/>
          <w:color w:val="auto"/>
        </w:rPr>
      </w:pPr>
    </w:p>
    <w:p>
      <w:pPr>
        <w:ind w:left="900" w:right="200" w:hanging="143"/>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the administration of our product candidates or trial completion;</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competing clinical trials;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such patients during the COVID-19 pandemic;</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new drugs approved for the indication the clinical trial is investigating; and</w:t>
      </w:r>
    </w:p>
    <w:p>
      <w:pPr>
        <w:spacing w:after="0" w:line="346" w:lineRule="exact"/>
        <w:rPr>
          <w:rFonts w:ascii="Arial" w:cs="Arial" w:eastAsia="Arial" w:hAnsi="Arial"/>
          <w:sz w:val="18"/>
          <w:szCs w:val="18"/>
          <w:color w:val="auto"/>
        </w:rPr>
      </w:pPr>
    </w:p>
    <w:p>
      <w:pPr>
        <w:ind w:left="900" w:right="760" w:hanging="143"/>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being studied in relation to other available therapies.</w:t>
      </w: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These factors may make it difficult for us to enroll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294"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282"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We face competition from numerous pharmaceutical and biotechnology enterprises, as well as from academic institutions, government agencies and private and public research institutions. Our ability to enroll clinical trials or our commercial opportunities will be reduced or eliminated if our competitors develop and commercialize products that are safer, more effective, have fewer side effects or are less expensive than any products that we may develop. Additionally, our commercial opportunities will be reduced or eliminated if novel upstream products or changes in treatment protocols reduce the overall incidence or prevalence of our current or future target diseases. Competition could result in reduced sales and pricing pressure on our product candidates, if approved by applicable regulatory authorities. In addition, significant delays in the development of our product candidates could allow our competitors to bring products to market before us and impair any ability to commercialize our product candidates.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and Legal Compliance</w:t>
      </w:r>
    </w:p>
    <w:p>
      <w:pPr>
        <w:spacing w:after="0" w:line="347" w:lineRule="exact"/>
        <w:rPr>
          <w:sz w:val="20"/>
          <w:szCs w:val="20"/>
          <w:color w:val="auto"/>
        </w:rPr>
      </w:pPr>
    </w:p>
    <w:p>
      <w:pPr>
        <w:ind w:right="440"/>
        <w:spacing w:after="0" w:line="303" w:lineRule="auto"/>
        <w:rPr>
          <w:sz w:val="20"/>
          <w:szCs w:val="20"/>
          <w:color w:val="auto"/>
        </w:rPr>
      </w:pPr>
      <w:r>
        <w:rPr>
          <w:rFonts w:ascii="Arial" w:cs="Arial" w:eastAsia="Arial" w:hAnsi="Arial"/>
          <w:sz w:val="18"/>
          <w:szCs w:val="18"/>
          <w:b w:val="1"/>
          <w:bCs w:val="1"/>
          <w:i w:val="1"/>
          <w:iCs w:val="1"/>
          <w:color w:val="auto"/>
        </w:rPr>
        <w:t>All of our product candidates are currently in preclinical development, and our future success is dependent on the successful development and regulatory approval of our product candidates.</w:t>
      </w:r>
    </w:p>
    <w:p>
      <w:pPr>
        <w:spacing w:after="0" w:line="2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currently have no products approved for commercial sale, and all of our product candidates are currently in preclinical development. The future success of our business is substantially dependent on our ability to obtain regulatory approval for our product candidates for the indications we seek, and, if approved, to successfully commercialize one or more product candidates in a timely manner. Each of our programs and product candidates will require additional preclinical and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31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We cannot commercialize product candidates in the United States without first obtaining regulatory approval for the product from the FDA; similarly, we cannot commercialize product candidates outside of the United States without obtaining regulatory approval from comparable foreign regulatory authorities. Before obtaining regulatory approvals for the commercial sale of any product candidate for a target indication, we must demonstrate with substantial evidence from and to the satisfaction of the FDA and foreign regulatory authorities, that the product candidate is safe, pure and potent for use</w:t>
      </w: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56" w:name="page57"/>
    <w:bookmarkEnd w:id="56"/>
    <w:p>
      <w:pPr>
        <w:ind w:right="40"/>
        <w:spacing w:after="0" w:line="277" w:lineRule="auto"/>
        <w:rPr>
          <w:sz w:val="20"/>
          <w:szCs w:val="20"/>
          <w:color w:val="auto"/>
        </w:rPr>
      </w:pPr>
      <w:r>
        <w:rPr>
          <w:rFonts w:ascii="Arial" w:cs="Arial" w:eastAsia="Arial" w:hAnsi="Arial"/>
          <w:sz w:val="18"/>
          <w:szCs w:val="18"/>
          <w:color w:val="auto"/>
        </w:rPr>
        <w:t>for that target indication and that the manufacturing facilities, processes and controls are adequate with respect to such product candidate to assure safety, purity and potency.</w:t>
      </w:r>
    </w:p>
    <w:p>
      <w:pPr>
        <w:spacing w:after="0" w:line="305"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future product candidates will ever obtain regulatory approval. Furthermore, the regulatory approval process for novel product candidates, such as T cell product candidates and next-generation T cell programs, can be more complex and consequently more expensive and take longer than for other, better known or extensively studied pharmaceutical or other product candidates.</w:t>
      </w:r>
    </w:p>
    <w:p>
      <w:pPr>
        <w:spacing w:after="0" w:line="3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Even if a product candidate were to successfully obtain approval from the FDA and comparable foreign regulatory authorities,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or generate revenues attributable to that product candidate. Also, any regulatory approval of our current or future product candidates, once obtained, may be withdrawn.</w:t>
      </w:r>
    </w:p>
    <w:p>
      <w:pPr>
        <w:spacing w:after="0" w:line="292" w:lineRule="exact"/>
        <w:rPr>
          <w:sz w:val="20"/>
          <w:szCs w:val="20"/>
          <w:color w:val="auto"/>
        </w:rPr>
      </w:pPr>
    </w:p>
    <w:p>
      <w:pPr>
        <w:jc w:val="both"/>
        <w:ind w:right="40"/>
        <w:spacing w:after="0" w:line="284" w:lineRule="auto"/>
        <w:rPr>
          <w:sz w:val="20"/>
          <w:szCs w:val="20"/>
          <w:color w:val="auto"/>
        </w:rPr>
      </w:pPr>
      <w:r>
        <w:rPr>
          <w:rFonts w:ascii="Arial" w:cs="Arial" w:eastAsia="Arial" w:hAnsi="Arial"/>
          <w:sz w:val="18"/>
          <w:szCs w:val="18"/>
          <w:b w:val="1"/>
          <w:bCs w:val="1"/>
          <w:i w:val="1"/>
          <w:iCs w:val="1"/>
          <w:color w:val="auto"/>
        </w:rPr>
        <w:t>Our cellular therapy product candidates represent new therapeutic approaches that could result in heightened regulatory scrutiny, delays in clinical development or delays in or our inability to achieve regulatory approval, commercialization or payor coverage of our product candidates.</w:t>
      </w:r>
    </w:p>
    <w:p>
      <w:pPr>
        <w:spacing w:after="0" w:line="30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future success is dependent on the successful development of our cellular therapies in general and our development product candidates in particular. Because these programs represent a new approach to the treatment of cancer, developing and, if approved, commercializing our product candidates subject us to a number of challenges. Moreover, we cannot be sure that the manufacturing processes used in connection with our cellular therapy product candidates will yield a sufficient supply of satisfactory products that are safe, pure and potent, scalable or profitable.</w:t>
      </w:r>
    </w:p>
    <w:p>
      <w:pPr>
        <w:spacing w:after="0" w:line="316"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trials of cell therapies that involve genetic engineering may proceed, the review process and determinations of other reviewing bodies can impede or delay the initiation of a clinical trial, even if the FDA has reviewed the trial and approved its initiation.</w:t>
      </w:r>
    </w:p>
    <w:p>
      <w:pPr>
        <w:spacing w:after="0" w:line="31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Actual or perceived safety issues, including adoption of new therapeutics or novel approaches to treatment, may adversely influence the willingness of subjects to participate in clinical trials, or if approved by applicable regulatory authorities, of physicians to subscribe to the novel treatment mechanics. The FDA or other applicable regulatory authorities may ask for specific post-market requirements, and additional information informing benefits or risks of our products may emerge at any time prior to or after regulatory approval.</w:t>
      </w:r>
    </w:p>
    <w:p>
      <w:pPr>
        <w:spacing w:after="0" w:line="31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Physicians, hospitals and third-party payors often are slow to adopt new products, technologies and treatment practices that require additional upfront costs and training. Physicians may not be willing to undergo training to adopt this novel therapy, may decide the therapy is too complex to adopt without appropriate training or not cost-efficient, and may choose not to administer the therapy. Based on these and other factors, hospitals and payors may decide that the benefits of this new therapy do not or will not outweigh its costs.</w:t>
      </w: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57" w:name="page58"/>
    <w:bookmarkEnd w:id="57"/>
    <w:p>
      <w:pPr>
        <w:ind w:right="460"/>
        <w:spacing w:after="0" w:line="303" w:lineRule="auto"/>
        <w:rPr>
          <w:sz w:val="20"/>
          <w:szCs w:val="20"/>
          <w:color w:val="auto"/>
        </w:rPr>
      </w:pPr>
      <w:r>
        <w:rPr>
          <w:rFonts w:ascii="Arial" w:cs="Arial" w:eastAsia="Arial" w:hAnsi="Arial"/>
          <w:sz w:val="18"/>
          <w:szCs w:val="18"/>
          <w:b w:val="1"/>
          <w:bCs w:val="1"/>
          <w:i w:val="1"/>
          <w:iCs w:val="1"/>
          <w:color w:val="auto"/>
        </w:rPr>
        <w:t>The results of research, preclinical studies or earlier clinical trials are not necessarily predictive of future results. Any product candidate we advance into clinical trials may not have favorable results in later clinical trials or receive regulatory approval.</w:t>
      </w:r>
    </w:p>
    <w:p>
      <w:pPr>
        <w:spacing w:after="0" w:line="28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Success in research, preclinical studies and early clinical trials does not ensure that later clinical trials will generate similar results and otherwise provide adequate data to demonstrate the efficacy and safety of an investigational product. Likewise, a number of companies in the pharmaceutical and biotechnology industries, including those with greater resources and experience than us, have suffered significant setbacks in late-stage clinical trials, even after seeing promising results in earlier preclinical studies or clinical trials. Thus, even if the results from our initial research and preclinical activities appear positive, we do not know whether subsequent late-stage clinical trials we may conduct will demonstrate adequate efficacy and safety to result in regulatory approval to market any product candidates.</w:t>
      </w:r>
    </w:p>
    <w:p>
      <w:pPr>
        <w:spacing w:after="0" w:line="314"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Moreover, final study results may not be consistent with interim study results. If later-stage clinical trials do not produce favorable results, our ability to achieve regulatory approval for any of our product candidates may be adversely impacted. Even if we believe that we have adequate data to support an application for regulatory approval to market any of our product candidates, the FDA or other regulatory authorities may not agree and may require that we conduct additional clinical trials.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w:t>
      </w:r>
    </w:p>
    <w:p>
      <w:pPr>
        <w:spacing w:after="0" w:line="36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All of our product candidates are in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3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clinical testing that will be required for any product candidates we choose to advance is expensive and can take many years to complete, and its outcome is inherently uncertain.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Product candidates in later stages of clinical trials may fail to show the desired safety and efficacy traits despite having progressed through preclinical and clinical trials.</w:t>
      </w:r>
    </w:p>
    <w:p>
      <w:pPr>
        <w:spacing w:after="0" w:line="31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31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To date, we have not completed any clinical trials required for the approval of our product candidates. We may experience delays in initiating or conducting any future clinical trials, and we do not know whether clinical trials will begin or enroll subjects on time, will need to be redesigned, will achieve expected enrollment rates or will be completed on schedule, if at all. For example, obtaining sufficient and specific tumor tissues will be needed for the anticipated TIL clinical trial. Our inability to obtain the specific tumor tissues or sufficient amount of tumor tissues could delay the clinical trial. There can be no assurance that the FDA or comparable foreign regulatory authorities will not put clinical trials of any of our product candidates on clinical hold in the future. Clinical trials can be delayed, suspended or terminated for a variety of reasons, including in connection with: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ind w:left="900" w:hanging="14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generate sufficient preclinical, toxicology, or other in vivo or in vitro data to support the initiation of clinical trials;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agreement with the FDA or other regulatory authorities as to the design or implementation of our clinical trials;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regulatory authorization to commence a clinical trial;</w:t>
      </w:r>
    </w:p>
    <w:p>
      <w:pPr>
        <w:spacing w:after="0" w:line="346" w:lineRule="exact"/>
        <w:rPr>
          <w:rFonts w:ascii="Arial" w:cs="Arial" w:eastAsia="Arial" w:hAnsi="Arial"/>
          <w:sz w:val="18"/>
          <w:szCs w:val="18"/>
          <w:color w:val="auto"/>
        </w:rPr>
      </w:pPr>
    </w:p>
    <w:p>
      <w:pPr>
        <w:ind w:left="900" w:right="400" w:hanging="14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reaching an agreement on acceptable terms with clinical trial sites or prospective CROs, the terms of which can be subject to extensive negotiation and may vary significantly among different clinical trial sites;</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IRB or ethics committee approval at each trial site;</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inspections of clinical trial sites or operations by applicable regulatory authorities, or the imposition of a clinical hold;</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sites, CROs or other third parties deviating from trial protocol or dropping out of a trial;</w:t>
      </w:r>
    </w:p>
    <w:p>
      <w:pPr>
        <w:spacing w:after="0" w:line="346" w:lineRule="exact"/>
        <w:rPr>
          <w:rFonts w:ascii="Arial" w:cs="Arial" w:eastAsia="Arial" w:hAnsi="Arial"/>
          <w:sz w:val="18"/>
          <w:szCs w:val="18"/>
          <w:color w:val="auto"/>
        </w:rPr>
      </w:pPr>
    </w:p>
    <w:p>
      <w:pPr>
        <w:ind w:left="900" w:right="320" w:hanging="14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perform in accordance with applicable regulatory requirements, including the FDA’s GCP requirements, or applicable regulatory requirements in other countries;</w:t>
      </w:r>
    </w:p>
    <w:p>
      <w:pPr>
        <w:spacing w:after="0" w:line="305" w:lineRule="exact"/>
        <w:rPr>
          <w:rFonts w:ascii="Arial" w:cs="Arial" w:eastAsia="Arial" w:hAnsi="Arial"/>
          <w:sz w:val="18"/>
          <w:szCs w:val="18"/>
          <w:color w:val="auto"/>
        </w:rPr>
      </w:pPr>
    </w:p>
    <w:p>
      <w:pPr>
        <w:ind w:left="900" w:right="120" w:hanging="14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 including occurrence of adverse events associated with the product candidate that are viewed to outweigh its potential benefits;</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 or</w:t>
      </w:r>
    </w:p>
    <w:p>
      <w:pPr>
        <w:spacing w:after="0" w:line="346" w:lineRule="exact"/>
        <w:rPr>
          <w:rFonts w:ascii="Arial" w:cs="Arial" w:eastAsia="Arial" w:hAnsi="Arial"/>
          <w:sz w:val="18"/>
          <w:szCs w:val="18"/>
          <w:color w:val="auto"/>
        </w:rPr>
      </w:pPr>
    </w:p>
    <w:p>
      <w:pPr>
        <w:ind w:left="900" w:right="280" w:hanging="143"/>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suspensions or terminations by IRBs of the institutions at which such trials are being conducted, by the Data Safety Monitoring Board for such trial or by the FDA or other regulatory authorities due to a number of factors, including those described above.</w:t>
      </w:r>
    </w:p>
    <w:p>
      <w:pPr>
        <w:spacing w:after="0" w:line="2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a clinical trial may be suspended or terminated by us, the institutional review boards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31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cannot predict with any certainty whether or when we might complete a given clinical trial, if at all. If we experience delays or quality issues in the conduct, completion or termination of any clinical trial of our product candidates, the approval and commercial prospects of such product candidate will be harmed, and our ability to generate product revenues from such product candidate will be delayed. In addition, any delays in completing our clinical trials will increase</w:t>
      </w: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59" w:name="page60"/>
    <w:bookmarkEnd w:id="59"/>
    <w:p>
      <w:pPr>
        <w:jc w:val="both"/>
        <w:ind w:right="260"/>
        <w:spacing w:after="0" w:line="271" w:lineRule="auto"/>
        <w:rPr>
          <w:sz w:val="20"/>
          <w:szCs w:val="20"/>
          <w:color w:val="auto"/>
        </w:rPr>
      </w:pPr>
      <w:r>
        <w:rPr>
          <w:rFonts w:ascii="Arial" w:cs="Arial" w:eastAsia="Arial" w:hAnsi="Arial"/>
          <w:sz w:val="18"/>
          <w:szCs w:val="18"/>
          <w:color w:val="auto"/>
        </w:rPr>
        <w:t>our costs, slow down our product candidate development and approval process and jeopardize our ability to commence product sales and generate revenues. Many of the factors that cause, or lead to, a delay in the commencement or completion of clinical trials may ultimately lead to the denial of regulatory approval of our product candidates.</w:t>
      </w:r>
    </w:p>
    <w:p>
      <w:pPr>
        <w:spacing w:after="0" w:line="31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any regulatory approval.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31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As a result of safety or toxicity issues that we may experience in our clinical trials, we may not continue the development of nor receive approval to market any product candidates, which could prevent us from ever generating product revenues or achieving profitability. For example, previous clinical trials utilizing a CAR T cell to treat hematologic tumors have shown an increased risk of cytokine release syndrome and immune effector cell-associated neurotoxicity syndrome. Adverse events may also be associated with the lymphodepletion regimen utilized with cellular therapies. Additionally, ROR1 is expressed on a number of normal tissues. As a result, ROR1 could cause on-target, off-tumor toxicity. c-JUN is also potentially an oncogene and could cause healthy cells to transform into malignant cells. Results of our trials could reveal an unacceptably high severity and incidence of side effects, or side effects outweighing the benefits of our product candidates. In such an event, our trials could be suspended or terminated and the FDA or comparable foreign regulatory authorities could order us to cease further development or deny approval of our product candidates for any or all targeted indications. The side effects experienced could affect patient recruitment or the ability of enrolled subjects to complete the trial or result in potential product liability claims.</w:t>
      </w:r>
    </w:p>
    <w:p>
      <w:pPr>
        <w:spacing w:after="0" w:line="3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event that any of our product candidates receives regulatory approval and we or others later identify undesirable or unacceptable side effects caused by such products, a number of potentially significant negative consequences could result, including:</w:t>
      </w:r>
    </w:p>
    <w:p>
      <w:pPr>
        <w:spacing w:after="0" w:line="305" w:lineRule="exact"/>
        <w:rPr>
          <w:sz w:val="20"/>
          <w:szCs w:val="20"/>
          <w:color w:val="auto"/>
        </w:rPr>
      </w:pPr>
    </w:p>
    <w:p>
      <w:pPr>
        <w:ind w:left="900" w:right="640" w:hanging="143"/>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or limit approvals of such products and require us to take our approved product off the market;</w:t>
      </w:r>
    </w:p>
    <w:p>
      <w:pPr>
        <w:spacing w:after="0" w:line="305" w:lineRule="exact"/>
        <w:rPr>
          <w:rFonts w:ascii="Arial" w:cs="Arial" w:eastAsia="Arial" w:hAnsi="Arial"/>
          <w:sz w:val="18"/>
          <w:szCs w:val="18"/>
          <w:color w:val="auto"/>
        </w:rPr>
      </w:pPr>
    </w:p>
    <w:p>
      <w:pPr>
        <w:ind w:left="900" w:right="360" w:hanging="143"/>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specific warnings, a contraindication or field alerts to physicians and pharmacies, or issue other communications containing warnings or other safety information about the product;</w:t>
      </w:r>
    </w:p>
    <w:p>
      <w:pPr>
        <w:spacing w:after="0" w:line="281" w:lineRule="exact"/>
        <w:rPr>
          <w:rFonts w:ascii="Arial" w:cs="Arial" w:eastAsia="Arial" w:hAnsi="Arial"/>
          <w:sz w:val="17"/>
          <w:szCs w:val="17"/>
          <w:color w:val="auto"/>
        </w:rPr>
      </w:pPr>
    </w:p>
    <w:p>
      <w:pPr>
        <w:ind w:left="900" w:right="120" w:hanging="143"/>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305" w:lineRule="exact"/>
        <w:rPr>
          <w:rFonts w:ascii="Arial" w:cs="Arial" w:eastAsia="Arial" w:hAnsi="Arial"/>
          <w:sz w:val="18"/>
          <w:szCs w:val="18"/>
          <w:color w:val="auto"/>
        </w:rPr>
      </w:pPr>
    </w:p>
    <w:p>
      <w:pPr>
        <w:ind w:left="900" w:right="320" w:hanging="143"/>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change the dose or the way the product is administered, conduct additional clinical trials, or change the labeling of the product;</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or manufacture the product;</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0" w:name="page61"/>
    <w:bookmarkEnd w:id="60"/>
    <w:p>
      <w:pPr>
        <w:spacing w:after="0" w:line="271" w:lineRule="auto"/>
        <w:rPr>
          <w:sz w:val="20"/>
          <w:szCs w:val="20"/>
          <w:color w:val="auto"/>
        </w:rPr>
      </w:pPr>
      <w:r>
        <w:rPr>
          <w:rFonts w:ascii="Arial" w:cs="Arial" w:eastAsia="Arial" w:hAnsi="Arial"/>
          <w:sz w:val="18"/>
          <w:szCs w:val="18"/>
          <w:color w:val="auto"/>
        </w:rPr>
        <w:t>Any of these events could prevent us or our potential future partners from achieving or maintaining market acceptance of the affected product or could substantially increase commercialization costs and expenses, which in turn could delay or prevent us from generating significant revenue from the sale of any products.</w:t>
      </w:r>
    </w:p>
    <w:p>
      <w:pPr>
        <w:spacing w:after="0" w:line="289" w:lineRule="exact"/>
        <w:rPr>
          <w:sz w:val="20"/>
          <w:szCs w:val="20"/>
          <w:color w:val="auto"/>
        </w:rPr>
      </w:pPr>
    </w:p>
    <w:p>
      <w:pPr>
        <w:ind w:right="280"/>
        <w:spacing w:after="0" w:line="284"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300"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From time to time, we may also disclose preliminary or interim data from our preclinical studies and clinical trials. Preliminary or 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292"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i w:val="1"/>
          <w:iCs w:val="1"/>
          <w:color w:val="auto"/>
        </w:rPr>
        <w:t>The FDA regulatory approval process is lengthy, time-consuming and inherently unpredictable. If we are not able to obtain required regulatory approval of our product candidates, our business will be substantially harmed.</w:t>
      </w:r>
    </w:p>
    <w:p>
      <w:pPr>
        <w:spacing w:after="0" w:line="28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expect the novel nature of our product candidates to create challenges in obtaining regulatory approval. For example, the FDA has limited experience with commercial development of T cell therapies for cancer. Accordingly, the regulatory approval pathway for our product candidates may be uncertain, complex, expensive and lengthy, and approval may not be obtained.</w:t>
      </w:r>
    </w:p>
    <w:p>
      <w:pPr>
        <w:spacing w:after="0" w:line="31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Prior to obtaining approval to commercialize any drug product candidate in the United States or abroad, we must demonstrate with substantial evidence from well-controlled clinical trials, and to the satisfaction of the FDA or foreign regulatory agencies, that such product candidates are safe, pure and potent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347" w:lineRule="exact"/>
        <w:rPr>
          <w:sz w:val="20"/>
          <w:szCs w:val="20"/>
          <w:color w:val="auto"/>
        </w:rPr>
      </w:pPr>
    </w:p>
    <w:p>
      <w:pPr>
        <w:ind w:left="900" w:hanging="14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1" w:name="page62"/>
    <w:bookmarkEnd w:id="61"/>
    <w:p>
      <w:pPr>
        <w:ind w:left="900" w:right="580" w:hanging="143"/>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305" w:lineRule="exact"/>
        <w:rPr>
          <w:rFonts w:ascii="Arial" w:cs="Arial" w:eastAsia="Arial" w:hAnsi="Arial"/>
          <w:sz w:val="18"/>
          <w:szCs w:val="18"/>
          <w:color w:val="auto"/>
        </w:rPr>
      </w:pPr>
    </w:p>
    <w:p>
      <w:pPr>
        <w:ind w:left="900" w:right="120" w:hanging="143"/>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346" w:lineRule="exact"/>
        <w:rPr>
          <w:rFonts w:ascii="Arial" w:cs="Arial" w:eastAsia="Arial" w:hAnsi="Arial"/>
          <w:sz w:val="18"/>
          <w:szCs w:val="18"/>
          <w:color w:val="auto"/>
        </w:rPr>
      </w:pPr>
    </w:p>
    <w:p>
      <w:pPr>
        <w:ind w:left="900" w:right="240" w:hanging="143"/>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305" w:lineRule="exact"/>
        <w:rPr>
          <w:rFonts w:ascii="Arial" w:cs="Arial" w:eastAsia="Arial" w:hAnsi="Arial"/>
          <w:sz w:val="18"/>
          <w:szCs w:val="18"/>
          <w:color w:val="auto"/>
        </w:rPr>
      </w:pPr>
    </w:p>
    <w:p>
      <w:pPr>
        <w:ind w:left="900" w:right="140" w:hanging="143"/>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authorities may significantly change in a manner rendering our clinical data insufficient for approval.</w:t>
      </w: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spacing w:after="0" w:line="314"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institutional review boards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3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31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 Many of the factors that cause, or lead to, a delay in the commencement or completion of clinical trials may ultimately lead to the denial of regulatory approval of our product candidates.</w:t>
      </w:r>
    </w:p>
    <w:p>
      <w:pPr>
        <w:spacing w:after="0" w:line="294"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30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If the FDA or a comparable foreign regulatory authority approves any of our product candidates,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w:t>
      </w: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62" w:name="page63"/>
    <w:bookmarkEnd w:id="62"/>
    <w:p>
      <w:pPr>
        <w:ind w:right="40"/>
        <w:spacing w:after="0" w:line="268" w:lineRule="auto"/>
        <w:rPr>
          <w:sz w:val="20"/>
          <w:szCs w:val="20"/>
          <w:color w:val="auto"/>
        </w:rPr>
      </w:pPr>
      <w:r>
        <w:rPr>
          <w:rFonts w:ascii="Arial" w:cs="Arial" w:eastAsia="Arial" w:hAnsi="Arial"/>
          <w:sz w:val="18"/>
          <w:szCs w:val="18"/>
          <w:color w:val="auto"/>
        </w:rPr>
        <w:t>continued compliance with cGMPs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w:t>
      </w:r>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well as, for the manufacture of certain of our product candidates, the FDA’s cGTPs for the use of human cellular and tissue products to prevent the introduction, transmission or spread of communicable diseases. As such, we and our contract manufacturers will be subject to continual review and inspections to assess compliance with cGMPs, cGTPs and adherence to commitments made in any approved marketing application. Accordingly, we and others with whom we work must continue to expend time, money and effort in all areas of regulatory compliance, including manufacturing, quality control and distribution.</w:t>
      </w:r>
    </w:p>
    <w:p>
      <w:pPr>
        <w:spacing w:after="0" w:line="31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 issuing warning letters or untitled letters, imposing fines on us, imposing restrictions on the product or its manufacture, and requiring us to recall or remove the product from the market. The regulators could also suspend or withdraw our marketing authorizations, requiring us to conduct additional clinical trials, change our product labeling, or submit additional applications for marketing authorization. If any of these events occurs, our ability to sell such product may be impaired, and we may incur substantial additional expense to comply with regulatory requirements, which could materially adversely affect our business, financial condition and results of operations.</w:t>
      </w:r>
    </w:p>
    <w:p>
      <w:pPr>
        <w:spacing w:after="0" w:line="318"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In addition, if we have any product candidate approved, our product labeling, advertising and promotion will be subject to regulatory requirements and continuing regulatory review. In the United States, the FDA and the Federal Trade Commission (FTC) strictly regulate the promotional claims that may be made about pharmaceutical products to ensure that any claims about such products are consistent with regulatory approvals, not misleading or false in any particular, and adequately substantiated by clinical data. The promotion of a drug product in a manner that is false, misleading, unsubstantiated, or for unapproved (or off-label) uses may result in enforcement letters, inquiries and investigations and civil and criminal sanctions by the FDA, FTC and other regulatory authorities.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and may result in false claims litigation under federal and state statutes, which can lead to consent decrees, civil monetary penalties, restitution, criminal fines and imprisonment, and exclusion from participation in Medicare, Medicaid and other federal and state healthcare programs. The federal government has levied large civil and criminal fines against companies for alleged improper promotion and has enjoined several companies from engaging in off-label promotion. The government has also required that companies enter into consent decrees and/or imposed permanent injunctions under which specified promotional conduct is changed or curtailed.</w:t>
      </w:r>
    </w:p>
    <w:p>
      <w:pPr>
        <w:spacing w:after="0" w:line="309"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314" w:lineRule="exact"/>
        <w:rPr>
          <w:sz w:val="20"/>
          <w:szCs w:val="20"/>
          <w:color w:val="auto"/>
        </w:rPr>
      </w:pPr>
    </w:p>
    <w:p>
      <w:pPr>
        <w:ind w:left="900" w:hanging="14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346" w:lineRule="exact"/>
        <w:rPr>
          <w:rFonts w:ascii="Arial" w:cs="Arial" w:eastAsia="Arial" w:hAnsi="Arial"/>
          <w:sz w:val="18"/>
          <w:szCs w:val="18"/>
          <w:color w:val="auto"/>
        </w:rPr>
      </w:pPr>
    </w:p>
    <w:p>
      <w:pPr>
        <w:ind w:left="900" w:right="100" w:hanging="143"/>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or require us to issue, safety-related communications, such as safety alerts, field alerts, “Dear Doctor” letters to healthcare professionals, or import alerts;</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63" w:name="page64"/>
    <w:bookmarkEnd w:id="63"/>
    <w:p>
      <w:pPr>
        <w:ind w:left="900" w:hanging="14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limit, or withdraw regulatory approval;</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any of our preclinical studies and clinical trials;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and our contract manufacturers’ facilities; or</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conduct a product recall.</w:t>
      </w:r>
    </w:p>
    <w:p>
      <w:pPr>
        <w:spacing w:after="0" w:line="347"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spacing w:after="0" w:line="31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Moreover,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3" w:lineRule="exact"/>
        <w:rPr>
          <w:sz w:val="20"/>
          <w:szCs w:val="20"/>
          <w:color w:val="auto"/>
        </w:rPr>
      </w:pPr>
    </w:p>
    <w:p>
      <w:pPr>
        <w:ind w:right="600"/>
        <w:spacing w:after="0" w:line="335" w:lineRule="auto"/>
        <w:rPr>
          <w:sz w:val="20"/>
          <w:szCs w:val="20"/>
          <w:color w:val="auto"/>
        </w:rPr>
      </w:pPr>
      <w:r>
        <w:rPr>
          <w:rFonts w:ascii="Arial" w:cs="Arial" w:eastAsia="Arial" w:hAnsi="Arial"/>
          <w:sz w:val="17"/>
          <w:szCs w:val="17"/>
          <w:b w:val="1"/>
          <w:bCs w:val="1"/>
          <w:i w:val="1"/>
          <w:iCs w:val="1"/>
          <w:color w:val="auto"/>
        </w:rPr>
        <w:t>We may be subject to applicable fraud and abuse, including anti-kickback and false claims, transparency, health information privacy and security and other healthcare laws. Failure to comply with such laws, may result in substantial penalties.</w:t>
      </w:r>
    </w:p>
    <w:p>
      <w:pPr>
        <w:spacing w:after="0" w:line="259"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We may be subject to broadly applicable healthcare laws and regulations that may constrain the business or financial arrangements and relationships through which we conduct research, market, sell and distribute any product candidates for which we obtain marketing approval. The healthcare laws that may affect us include: the federal fraud and abuse laws, including the federal anti- kickback, and false claims and civil monetary penalties laws; federal data privacy and security laws; and federal transparency laws related to ownership and investment interests and payments and/or other transfers of value made to or held by physicians (including doctors, dentists, optometrists, podiatrists and chiropractors) and teaching hospitals and, beginning in 2022, information regarding payments and transfers of value provided to and other healthcare professionals during the previous year. In addition, many states have similar laws and regulations that may differ from each other and federal law in significant ways, thus complicating compliance efforts. Moreover, several states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the registration of biopharmaceutical sales representatives in the jurisdiction.</w:t>
      </w:r>
    </w:p>
    <w:p>
      <w:pPr>
        <w:spacing w:after="0" w:line="31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Ensuring that our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options for consulting services provided, may not comply with current or future statutes, regulations,</w:t>
      </w: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4" w:name="page65"/>
    <w:bookmarkEnd w:id="64"/>
    <w:p>
      <w:pPr>
        <w:ind w:right="20"/>
        <w:spacing w:after="0" w:line="268" w:lineRule="auto"/>
        <w:rPr>
          <w:sz w:val="20"/>
          <w:szCs w:val="20"/>
          <w:color w:val="auto"/>
        </w:rPr>
      </w:pPr>
      <w:r>
        <w:rPr>
          <w:rFonts w:ascii="Arial" w:cs="Arial" w:eastAsia="Arial" w:hAnsi="Arial"/>
          <w:sz w:val="18"/>
          <w:szCs w:val="18"/>
          <w:color w:val="auto"/>
        </w:rPr>
        <w:t>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civil, criminal and administrative penalties, damages, disgorgement, fines, imprisonment, exclusion of products from government funded healthcare programs, such as Medicare and Medicaid, additional reporting requirements and/or oversight if a corporate integrity agreement or similar agreement is executed to resolve allegations of non-compliance with these laws and the curtailment or restructuring of operations. In addition, violations may also result in reputational harm, diminished profits and future earnings.</w:t>
      </w:r>
    </w:p>
    <w:p>
      <w:pPr>
        <w:spacing w:after="0" w:line="292" w:lineRule="exact"/>
        <w:rPr>
          <w:sz w:val="20"/>
          <w:szCs w:val="20"/>
          <w:color w:val="auto"/>
        </w:rPr>
      </w:pPr>
    </w:p>
    <w:p>
      <w:pPr>
        <w:ind w:right="220"/>
        <w:spacing w:after="0" w:line="303" w:lineRule="auto"/>
        <w:rPr>
          <w:sz w:val="20"/>
          <w:szCs w:val="20"/>
          <w:color w:val="auto"/>
        </w:rPr>
      </w:pPr>
      <w:r>
        <w:rPr>
          <w:rFonts w:ascii="Arial" w:cs="Arial" w:eastAsia="Arial" w:hAnsi="Arial"/>
          <w:sz w:val="18"/>
          <w:szCs w:val="18"/>
          <w:b w:val="1"/>
          <w:bCs w:val="1"/>
          <w:i w:val="1"/>
          <w:iCs w:val="1"/>
          <w:color w:val="auto"/>
        </w:rPr>
        <w:t>Changes in healthcare policies, laws and regulations may impact our ability to obtain approval for, or commercialize our product candidates, if approved.</w:t>
      </w:r>
    </w:p>
    <w:p>
      <w:pPr>
        <w:spacing w:after="0" w:line="28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reforms of the healthcare system in an effort to contain costs, improve quality and expand access to care. In the United States, there have been and continue to be a number of healthcare-related legislative initiatives, as well as executive, judicial and Congressional challenges to existing healthcare laws that have significantly affected, and could continue to significantly affect, the healthcare industry. For example, the U.S. Supreme Court is currently reviewing the constitutionality of the Patient Protection and Affordable Care Act of 2010, as amended by the Health Care and Education Reconciliation Act of 2010, together with subsequent amendments and regulations (collectively, the ACA); it is unclear when a decision will be made.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292"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30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FDA approval. Our ability to achieve acceptable levels of coverage and reimbursement for products by governmental authorities, private health insurers and other organizations will have an effect on our ability to successfully commercialize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Reimbursement by a third-party payor may depend upon a number of factors, including the third-party payor’s determination that a procedure is safe, effective and medically necessary; appropriate for the specific patient; cost effective; supported by peer-reviewed medical journals; included in clinical practice guidelines; and neither cosmetic, experimental, nor investigational. Assuming we obtain coverage for our product candidates by a third-party payor, the resulting reimbursement payment rates may not be adequate or may require co-payments that patients find unacceptably high. We cannot be sure that coverage and reimbursement in the United States, the European Union or elsewhere will be available for our product candidates or any product that we may develop, and any reimbursement that may become available may be decreased or eliminated in the future.</w:t>
      </w:r>
    </w:p>
    <w:p>
      <w:pPr>
        <w:spacing w:after="0" w:line="31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Similarly, a significant trend in the healthcare industry is cost containment. Third-party payors have attempted to control costs by limiting coverage and the amount of reimbursement for particular medications. As such, cost containment reform efforts may result in an adverse effect on our operations. Obtaining coverage and adequate reimbursement for our product candidates may be particularly difficult because of the higher prices often associated with drugs administered under the supervision of a physician. Similarly, because our product candidates are physician-administered, separate reimbursement for the product itself may or may not be available. Instead, the administering physician may or may not be reimbursed for providing the treatment or procedure in which our product is used.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65" w:name="page66"/>
    <w:bookmarkEnd w:id="65"/>
    <w:p>
      <w:pPr>
        <w:ind w:right="60"/>
        <w:spacing w:after="0" w:line="275" w:lineRule="auto"/>
        <w:rPr>
          <w:sz w:val="20"/>
          <w:szCs w:val="20"/>
          <w:color w:val="auto"/>
        </w:rPr>
      </w:pPr>
      <w:r>
        <w:rPr>
          <w:rFonts w:ascii="Arial" w:cs="Arial" w:eastAsia="Arial" w:hAnsi="Arial"/>
          <w:sz w:val="18"/>
          <w:szCs w:val="18"/>
          <w:b w:val="1"/>
          <w:bCs w:val="1"/>
          <w:i w:val="1"/>
          <w:iCs w:val="1"/>
          <w:color w:val="auto"/>
        </w:rPr>
        <w:t>We intend to rely on third parties to conduct, supervise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30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intend to engage CROs and other third parties to conduct our planned preclinical studies or clinical trials.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or quarantine policies, heightened exposure of CRO or clinical site or other vendor staff who are healthcare providers to COVID-19 or prioritization of resources toward the pandemic.</w:t>
      </w:r>
    </w:p>
    <w:p>
      <w:pPr>
        <w:spacing w:after="0" w:line="31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318"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are conducted in accordance with the general investigational plan and protocols for the trial. Moreover, the FDA requires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product candidates.</w:t>
      </w:r>
    </w:p>
    <w:p>
      <w:pPr>
        <w:spacing w:after="0" w:line="292"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30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w:t>
      </w: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66" w:name="page67"/>
    <w:bookmarkEnd w:id="66"/>
    <w:p>
      <w:pPr>
        <w:ind w:right="20"/>
        <w:spacing w:after="0" w:line="268" w:lineRule="auto"/>
        <w:rPr>
          <w:sz w:val="20"/>
          <w:szCs w:val="20"/>
          <w:color w:val="auto"/>
        </w:rPr>
      </w:pPr>
      <w:r>
        <w:rPr>
          <w:rFonts w:ascii="Arial" w:cs="Arial" w:eastAsia="Arial" w:hAnsi="Arial"/>
          <w:sz w:val="18"/>
          <w:szCs w:val="18"/>
          <w:color w:val="auto"/>
        </w:rPr>
        <w:t>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be cleared or approved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w:t>
      </w:r>
    </w:p>
    <w:p>
      <w:pPr>
        <w:spacing w:after="0" w:line="31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still be appropriate.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347"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 candidates, or if the scope of the intellectual property protection is not sufficiently broad, our ability to commercialize our product candidates successfully and to compete effectively may be adversely affected.</w:t>
      </w:r>
    </w:p>
    <w:p>
      <w:pPr>
        <w:spacing w:after="0" w:line="30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rely upon a combination of patents, trademarks, trade secrets and confidentiality agreements to protect the intellectual property related to our technology and product candidates. We own or possess certain intellectual property, and other intellectual property are owned or possessed by our partners and are in-licensed to us. When we refer to “our” technologies, inventions, patents, patent applications or other intellectual property rights, we are referring to both the rights that we own or possess as well as those that we in-license, many of which are critical to our intellectual property protection and our business. If the intellectual property that we rely on is not adequately protected, competitors may be able to use our technologies and erode or negate any competitive advantage we may have.</w:t>
      </w:r>
    </w:p>
    <w:p>
      <w:pPr>
        <w:spacing w:after="0" w:line="314"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The patentability of inventions and the validity, enforceability and scope of patents in the biotechnology field is uncertain because it involves complex legal, scientific and factual considerations, and it has in recent years been the subject of significant litigation. Moreover, the standards applied by the U.S. Patent and Trademark Office (USPTO) and non-U.S. patent offices in granting patents are not always applied uniformly or predictably. There is also no assurance that all potentially relevant prior art relating to our patents and patent applications is known to us or has been found in the instances where searching was done. We may be unaware of prior art that could be used to invalidate an issued patent or prevent a pending patent application from issuing as a patent. There also may be prior art of which we are aware, but which we do not believe affects the validity, enforceability or patentability of a claim of one of our patents or patent applications, which may, nonetheless, ultimately be found to affect the validity, enforceability or patentability of such claim. As a consequence of these and other factors, our patent applications may fail to result in issued patents with claims that cover our product candidates in the United States or in other countries.</w:t>
      </w:r>
    </w:p>
    <w:p>
      <w:pPr>
        <w:spacing w:after="0" w:line="31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Even if patents have issued or do successfully issue from patent applications, and even if these patents cover our product candidates, third parties may challenge the validity, enforceability or scope thereof, which may result in these patents being narrowed, invalidated or held to be unenforceable. No assurance can be given that if challenged, our patents would be declared by a court to be valid or enforceable. Even if unchallenged, our patents and patent applications or other intellectual property rights may not adequately protect our intellectual property, provide exclusivity for our product</w:t>
      </w: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67" w:name="page68"/>
    <w:bookmarkEnd w:id="67"/>
    <w:p>
      <w:pPr>
        <w:ind w:right="60"/>
        <w:spacing w:after="0" w:line="268" w:lineRule="auto"/>
        <w:rPr>
          <w:sz w:val="20"/>
          <w:szCs w:val="20"/>
          <w:color w:val="auto"/>
        </w:rPr>
      </w:pPr>
      <w:r>
        <w:rPr>
          <w:rFonts w:ascii="Arial" w:cs="Arial" w:eastAsia="Arial" w:hAnsi="Arial"/>
          <w:sz w:val="18"/>
          <w:szCs w:val="18"/>
          <w:color w:val="auto"/>
        </w:rPr>
        <w:t>candidates or prevent others from designing around our claims. The possibility exists that others will develop products on an independent basis which have the same effect as our product candidates and which do not infringe our patents or other intellectual property rights, or that others will design around the claims of patents that we have had issued that cover our product candidates. If the breadth or strength of protection provided by our patents and patent applications with respect to our product candidates is threatened, it could jeopardize our ability to commercialize our product candidates and dissuade companies from collaborating with us.</w:t>
      </w:r>
    </w:p>
    <w:p>
      <w:pPr>
        <w:spacing w:after="0" w:line="316" w:lineRule="exact"/>
        <w:rPr>
          <w:sz w:val="20"/>
          <w:szCs w:val="20"/>
          <w:color w:val="auto"/>
        </w:rPr>
      </w:pPr>
    </w:p>
    <w:p>
      <w:pPr>
        <w:ind w:right="400"/>
        <w:spacing w:after="0" w:line="294" w:lineRule="auto"/>
        <w:rPr>
          <w:sz w:val="20"/>
          <w:szCs w:val="20"/>
          <w:color w:val="auto"/>
        </w:rPr>
      </w:pPr>
      <w:r>
        <w:rPr>
          <w:rFonts w:ascii="Arial" w:cs="Arial" w:eastAsia="Arial" w:hAnsi="Arial"/>
          <w:sz w:val="17"/>
          <w:szCs w:val="17"/>
          <w:color w:val="auto"/>
        </w:rPr>
        <w:t>We may also desire to seek licenses from third parties who own or have rights to intellectual property that may be useful for providing exclusivity for our product candidates, or for providing the ability to develop and commercialize a product candidate in an unrestricted manner. There is no guarantee that we will be able to obtain such licenses from third parties on commercially reasonable terms, or at all.</w:t>
      </w:r>
    </w:p>
    <w:p>
      <w:pPr>
        <w:spacing w:after="0" w:line="2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the USPTO and various foreign governmental or inter-governmental patent agencies require compliance with a number of procedural, documentary, fee payment and other similar provisions during and after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irreversible loss of patent rights in the relevant jurisdiction. In such an event, our competitors might be able to enter the market, which could have a material adverse effect on our business.</w:t>
      </w:r>
    </w:p>
    <w:p>
      <w:pPr>
        <w:spacing w:after="0" w:line="3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United States patent applications containing or that at any time contained a claim not entitled to a priority date before March 16, 2013 are subject to the “first to file” system implemented by the America Invents Act (2011). The first to file system requires us to be cognizant going forward of the time from invention to filing of a patent application. Because patent applications in the U.S. and most other countries are confidential for a period of time after filing, and some remain so until issued, we cannot be certain that we or our partners were the first to file any patent application related to a product candidate.</w:t>
      </w:r>
    </w:p>
    <w:p>
      <w:pPr>
        <w:spacing w:after="0" w:line="31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our registered or unregistered trademarks or trade names may be challenged, infringed or declared generic or determined to be infringing on other marks. We may not be able to protect our rights to these trademarks and trade names, which we view as valuable to building name recognition among potential partners and customers in our markets of interest. At times, competitors or other third parties have adopted or may adopt trade names or trademarks similar to ours, thereby impeding our ability to build brand identity and possibly leading to market confusion and/or litigation.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protect, or defend our proprietary rights related to trademarks may be ineffective and could result in substantial costs and diversion of resources and could adversely affect our business, financial condition, results of operations and prospects.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369"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its first nonprovisional effective filing date. Although various extensions may be available, the life of a patent, and the protection it affords, is limited. Even if patents covering our product candidates are obtained, once the patent life has expired for a product, we may be open to competition from biosimilar or generic medications. In addition, although upon issuance in the United States a patent’s life can be increased based on certain delays caused by the USPTO, this increase can be reduced or eliminated based on certain delays caused by the patent applicant during patent prosecution. The patent term of certain patents can also be extended with respect to a specific product to recapture time lost in clinical trials and regulatory review by the FDA. A patent’s life also can be shortened by a terminal disclaimer over an earlier filed patent or patent application. If we do not have sufficient patent life to protect our products, our business and results of operations will be adversely affected.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369" w:lineRule="exact"/>
        <w:rPr>
          <w:sz w:val="20"/>
          <w:szCs w:val="20"/>
          <w:color w:val="auto"/>
        </w:rPr>
      </w:pPr>
    </w:p>
    <w:p>
      <w:pPr>
        <w:ind w:right="880"/>
        <w:spacing w:after="0" w:line="266" w:lineRule="auto"/>
        <w:rPr>
          <w:sz w:val="20"/>
          <w:szCs w:val="20"/>
          <w:color w:val="auto"/>
        </w:rPr>
      </w:pPr>
      <w:r>
        <w:rPr>
          <w:rFonts w:ascii="Arial" w:cs="Arial" w:eastAsia="Arial" w:hAnsi="Arial"/>
          <w:sz w:val="18"/>
          <w:szCs w:val="18"/>
          <w:color w:val="auto"/>
        </w:rPr>
        <w:t>Filing, prosecuting, enforcing and defending patents on all of our product candidates in all countries throughout the world would be prohibitively expensive. Our intellectual property rights in certain countries outside the United States may be less</w:t>
      </w: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8" w:name="page69"/>
    <w:bookmarkEnd w:id="68"/>
    <w:p>
      <w:pPr>
        <w:ind w:right="100"/>
        <w:spacing w:after="0" w:line="267" w:lineRule="auto"/>
        <w:rPr>
          <w:sz w:val="20"/>
          <w:szCs w:val="20"/>
          <w:color w:val="auto"/>
        </w:rPr>
      </w:pPr>
      <w:r>
        <w:rPr>
          <w:rFonts w:ascii="Arial" w:cs="Arial" w:eastAsia="Arial" w:hAnsi="Arial"/>
          <w:sz w:val="18"/>
          <w:szCs w:val="18"/>
          <w:color w:val="auto"/>
        </w:rPr>
        <w:t>extensive than those in the United States. In addition, the laws of certain foreign countries do not protect intellectual property rights to the same extent as laws in the United States. Consequently, we and our partners may not be able to prevent third parties from practicing our inventions in countries outside the United States, or from selling or importing infringing products made using our inventions in other jurisdictions. Competitors may use our technologies in jurisdictions where we have not obtained patent protection or where we do not have exclusive rights under the relevant patents to develop their own products and, further, may export otherwise-infringing products to territories where we and our partners have patent protection but where enforcement is not as strong as that in the U.S. These infringing products may compete with our product candidates in jurisdictions where we or our partners have no issued patents or where we do not have exclusive rights under the relevant patents, or our patent claims and other intellectual property rights may not be effective or sufficient to prevent them from so competing.</w:t>
      </w:r>
    </w:p>
    <w:p>
      <w:pPr>
        <w:spacing w:after="0" w:line="317"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partners to stop the infringement of our patents or marketing of competing products in violation of our intellectual property rights generally.</w:t>
      </w:r>
    </w:p>
    <w:p>
      <w:pPr>
        <w:spacing w:after="0" w:line="31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attention from other aspects of our business, could put our patents at risk of being invalidated or interpreted narrowly, could put our patent applications at risk of not issuing, and could provoke third parties to assert claims against us or our partners. We or our partners may not prevail in any lawsuits that we or our licensors initiate, and even if we or our licensors are successful the damages or other remedies awarded, if any, may not be commercially meaningful.</w:t>
      </w:r>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we or our partners may have limited remedies, which could materially diminish the value of such patent. If we or our partners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94" w:lineRule="exact"/>
        <w:rPr>
          <w:sz w:val="20"/>
          <w:szCs w:val="20"/>
          <w:color w:val="auto"/>
        </w:rPr>
      </w:pPr>
    </w:p>
    <w:p>
      <w:pPr>
        <w:ind w:right="360"/>
        <w:spacing w:after="0" w:line="303" w:lineRule="auto"/>
        <w:rPr>
          <w:sz w:val="20"/>
          <w:szCs w:val="20"/>
          <w:color w:val="auto"/>
        </w:rPr>
      </w:pPr>
      <w:r>
        <w:rPr>
          <w:rFonts w:ascii="Arial" w:cs="Arial" w:eastAsia="Arial" w:hAnsi="Arial"/>
          <w:sz w:val="18"/>
          <w:szCs w:val="18"/>
          <w:b w:val="1"/>
          <w:bCs w:val="1"/>
          <w:i w:val="1"/>
          <w:iCs w:val="1"/>
          <w:color w:val="auto"/>
        </w:rPr>
        <w:t>If we are sued for infringing or misappropriating the intellectual property rights of third parties, the resulting litigation could be costly and time-consuming and could prevent or delay our development and commercialization efforts.</w:t>
      </w:r>
    </w:p>
    <w:p>
      <w:pPr>
        <w:spacing w:after="0" w:line="28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commercial success depends, in part, on us and our partners not infringing the patents and proprietary rights of third parties. There is a substantial amount of litigation and other adversarial proceedings, both within and outside the United States, involving patent and other intellectual property rights in the biotechnology and pharmaceutical industries, including patent infringement lawsuits, interference or derivation proceedings, oppositions, and inter partes and post-grant review proceedings before the USPTO and non-U.S. patent offices. Numerous U.S. and non-U.S. issued patents and pending patent applications owned by third parties exist in the fields in which we are developing, and may develop, product candidates. As the biotechnology and pharmaceutical industries expand and more patents are issued, the risk increases that our product candidates may be subject to claims of infringement of third parties’ patent rights, as it may not always be clear to industry participants, including us, which patents cover various types of products, methods of making, or methods of use.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coverage of patents is subject to interpretation by the courts, and the interpretation is not always uniform or predictable.</w:t>
      </w:r>
    </w:p>
    <w:p>
      <w:pPr>
        <w:spacing w:after="0" w:line="34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Third parties may assert infringement or misappropriation claims against us based on existing or future intellectual property rights, alleging that we are employing their proprietary technology without authorization. There may be third-party patents or patent applications with claims to materials, formulations, methods of manufacture or methods for treatment related to the use or manufacturing of our product candidates that we failed to identify. For example, patent applications covering our product candidates could have been filed by others without our knowledge, since these applications generally remain confidential for some period of time after their filing date. Even pending patent applications that have been published, including some of which we are aware, could be later amended in a manner that could cover our product candidates or their use or manufacture. In addition, we may have analyzed patents or patent applications of third parties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69" w:name="page70"/>
    <w:bookmarkEnd w:id="69"/>
    <w:p>
      <w:pPr>
        <w:ind w:right="300"/>
        <w:spacing w:after="0" w:line="271" w:lineRule="auto"/>
        <w:rPr>
          <w:sz w:val="20"/>
          <w:szCs w:val="20"/>
          <w:color w:val="auto"/>
        </w:rPr>
      </w:pPr>
      <w:r>
        <w:rPr>
          <w:rFonts w:ascii="Arial" w:cs="Arial" w:eastAsia="Arial" w:hAnsi="Arial"/>
          <w:sz w:val="18"/>
          <w:szCs w:val="18"/>
          <w:color w:val="auto"/>
        </w:rPr>
        <w:t>that we believe are relevant to our activities and believe that we are free to operate in relation to any of our product candidates, but our competitors may obtain issued claims, including in patents we consider to be unrelated, which may block our efforts or potentially result in any of our product candidates or our activities infringing their claims.</w:t>
      </w:r>
    </w:p>
    <w:p>
      <w:pPr>
        <w:spacing w:after="0" w:line="31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If we or our partners are sued for patent infringement, we would need to demonstrate that our product candidates, products and methods either do not infringe the patent claims of the relevant patent or that the patent claims are invalid or unenforceable, and we may not be able to do this. Proving that a patent is invalid is difficult and even if we are successful in the relevant proceedings, we may incur substantial costs and the time and attention of our management and scientific personnel could be diverted from other activities. If one or more claims of any issued third-party patents were held by a court of competent jurisdiction to cover aspects of our materials, formulations, methods of manufacture or methods for treatment, we could be forced, including by court order, to cease developing, manufacturing or commercializing the relevant product candidate until the relevant patent expired. Alternatively, we may desire or be required to obtain a license from such third party in order to use the infringing technology and to continue developing, manufacturing or marketing the infringing product candidate. However, we may not be able to obtain any required license on commercially reasonably terms, or at all. Even if we were able to obtain a license, the rights may be nonexclusive, which could result in our competitors gaining access to the same intellectual property licensed to us. If we are unable to obtain a necessary license on commercially reasonable terms, or at all, our ability to commercialize our product candidates may be impaired or delayed, which could in turn significantly harm our business.</w:t>
      </w:r>
    </w:p>
    <w:p>
      <w:pPr>
        <w:spacing w:after="0" w:line="293" w:lineRule="exact"/>
        <w:rPr>
          <w:sz w:val="20"/>
          <w:szCs w:val="20"/>
          <w:color w:val="auto"/>
        </w:rPr>
      </w:pPr>
    </w:p>
    <w:p>
      <w:pPr>
        <w:jc w:val="both"/>
        <w:ind w:right="220"/>
        <w:spacing w:after="0" w:line="284" w:lineRule="auto"/>
        <w:rPr>
          <w:sz w:val="20"/>
          <w:szCs w:val="20"/>
          <w:color w:val="auto"/>
        </w:rPr>
      </w:pPr>
      <w:r>
        <w:rPr>
          <w:rFonts w:ascii="Arial" w:cs="Arial" w:eastAsia="Arial" w:hAnsi="Arial"/>
          <w:sz w:val="18"/>
          <w:szCs w:val="18"/>
          <w:b w:val="1"/>
          <w:bCs w:val="1"/>
          <w:i w:val="1"/>
          <w:iCs w:val="1"/>
          <w:color w:val="auto"/>
        </w:rPr>
        <w:t>We may face claims that we misappropriated the confidential information or trade secrets of a third party. If we are found to have misappropriated a third-party’s trade secrets, we may be prevented from further using these trade secrets, which could limit our ability to develop our product candidates.</w:t>
      </w:r>
    </w:p>
    <w:p>
      <w:pPr>
        <w:spacing w:after="0" w:line="30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Defending against intellectual property claims, regardless of their merit, could be costly and time consuming, regardless of the outcome. Thus, even if we were to ultimately prevail, or to settle before a final judgment, any litigation could burden us with substantial unanticipated costs. In addition, litigation or threatened litigation could result in significant demands on the time and attention of our management team, distracting them from the pursuit of other company business. During the course of any intellectual property litigation, there could be public announcements of the results of hearings, rulings on motions and other interim proceedings in the litigation and these announcements may have negative impact on the perceived value of our product candidates, programs or intellectual property. In the event of a successful intellectual property claim against us, we may have to pay substantial damages, including treble damages and attorneys’ fees if we are found to have willfully infringed a patent, or to redesign our infringing product candidates, which may be impossible or require substantial time and monetary expenditure. In addition to paying monetary damages, we may lose valuable intellectual property rights or personnel and the parties making claims against us may obtain injunctive or other equitable relief, which could impose limitations on the conduct of our business. We may also elect to enter into license agreements in order to settle patent infringement claims prior to litigation, and any of these license agreements may require us to pay royalties and other fees that could be significant. As a result of all of the foregoing, any actual or threatened intellectual property claim could prevent us from developing or commercializing a product candidate or force us to cease some aspect of our business operations.</w:t>
      </w:r>
    </w:p>
    <w:p>
      <w:pPr>
        <w:spacing w:after="0" w:line="303"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b w:val="1"/>
          <w:bCs w:val="1"/>
          <w:i w:val="1"/>
          <w:iCs w:val="1"/>
          <w:color w:val="auto"/>
        </w:rPr>
        <w:t>We have in-licensed a significant portion of our intellectual property from our partners. If we breach any of our license agreements with these partners, we could potentially lose the ability to continue the development and potential commercialization of one or more of our product candidates.</w:t>
      </w:r>
    </w:p>
    <w:p>
      <w:pPr>
        <w:spacing w:after="0" w:line="30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We hold rights under license agreements with our partners. Our discovery and development technology platforms are built, in part, around intellectual property rights in-licensed from our partners. Under our existing license agreements, we are subject to various obligations, which may include diligence obligations with respect to development and commercialization activities, payment obligations upon achievement of certain milestones and royalties on product sales. If there is any conflict, dispute, disagreement or issue of nonperformance between us and our counterparties regarding our rights or obligations under these license agreements, including any conflict, dispute or disagreement arising from our failure to satisfy diligence or payment obligations, we may be liable to pay damages and our counterparties may have a right to terminate the affected license. The termination of any license agreement with one of our partners could adversely affect our ability to utilize the intellectual property that is subject to that license agreement in our discovery and development efforts, our ability to enter into future collaboration, licensing and/or marketing agreements for one or more affected product candidates and our ability to commercialize the affected product candidates. Furthermore, disagreements under any of these license agreements may arise, including those related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70" w:name="page71"/>
    <w:bookmarkEnd w:id="70"/>
    <w:p>
      <w:pPr>
        <w:ind w:left="900" w:hanging="14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346" w:lineRule="exact"/>
        <w:rPr>
          <w:rFonts w:ascii="Arial" w:cs="Arial" w:eastAsia="Arial" w:hAnsi="Arial"/>
          <w:sz w:val="18"/>
          <w:szCs w:val="18"/>
          <w:color w:val="auto"/>
        </w:rPr>
      </w:pPr>
    </w:p>
    <w:p>
      <w:pPr>
        <w:ind w:left="900" w:right="460" w:hanging="143"/>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may infringe on intellectual property of the licensor that is not subject to the licensing agreement;</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 and</w:t>
      </w:r>
    </w:p>
    <w:p>
      <w:pPr>
        <w:spacing w:after="0" w:line="346" w:lineRule="exact"/>
        <w:rPr>
          <w:rFonts w:ascii="Arial" w:cs="Arial" w:eastAsia="Arial" w:hAnsi="Arial"/>
          <w:sz w:val="18"/>
          <w:szCs w:val="18"/>
          <w:color w:val="auto"/>
        </w:rPr>
      </w:pPr>
    </w:p>
    <w:p>
      <w:pPr>
        <w:ind w:left="900" w:right="180" w:hanging="143"/>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These disagreements may harm our relationship with the partner, which could have negative impacts on other aspects of our business.</w:t>
      </w:r>
    </w:p>
    <w:p>
      <w:pPr>
        <w:spacing w:after="0" w:line="325" w:lineRule="exact"/>
        <w:rPr>
          <w:sz w:val="20"/>
          <w:szCs w:val="20"/>
          <w:color w:val="auto"/>
        </w:rPr>
      </w:pPr>
    </w:p>
    <w:p>
      <w:pPr>
        <w:ind w:right="1140"/>
        <w:spacing w:after="0" w:line="303"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28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Presently we have rights to the intellectual property, through licenses from third parties and under patent applications that we own or will own, to develop our product candidates. Because our programs may involve additional product candidates that may require the use of proprietary rights held by third parties, the growth of our business will likely depend in part on our ability to acquire, in-license or use these proprietary rights.</w:t>
      </w:r>
    </w:p>
    <w:p>
      <w:pPr>
        <w:spacing w:after="0" w:line="31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product candidates may also require specific formulations, manufacturing methods, or technologies to work effectively and efficiently, and these rights may be held by others. We may be unable to acquire or in-license any compositions, methods of use, processes or other third party intellectual property rights from third parties that we identify. We may fail to obtain any of these licenses at a reasonable cost or on reasonable terms; such failure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We may need to cease use of the compositions or methods covered by such third-party intellectual property rights.</w:t>
      </w:r>
    </w:p>
    <w:p>
      <w:pPr>
        <w:spacing w:after="0" w:line="313"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spacing w:after="0" w:line="292"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30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have acquired or licensed, or may require in the future, intellectual property rights that have been generated through the use of U.S. government funding or grant.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1" w:name="page72"/>
    <w:bookmarkEnd w:id="71"/>
    <w:p>
      <w:pPr>
        <w:ind w:right="80"/>
        <w:spacing w:after="0" w:line="269" w:lineRule="auto"/>
        <w:rPr>
          <w:sz w:val="20"/>
          <w:szCs w:val="20"/>
          <w:color w:val="auto"/>
        </w:rPr>
      </w:pPr>
      <w:r>
        <w:rPr>
          <w:rFonts w:ascii="Arial" w:cs="Arial" w:eastAsia="Arial" w:hAnsi="Arial"/>
          <w:sz w:val="18"/>
          <w:szCs w:val="18"/>
          <w:color w:val="auto"/>
        </w:rPr>
        <w:t>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92" w:lineRule="exact"/>
        <w:rPr>
          <w:sz w:val="20"/>
          <w:szCs w:val="20"/>
          <w:color w:val="auto"/>
        </w:rPr>
      </w:pPr>
    </w:p>
    <w:p>
      <w:pPr>
        <w:ind w:right="360"/>
        <w:spacing w:after="0" w:line="303"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w:t>
      </w:r>
    </w:p>
    <w:p>
      <w:pPr>
        <w:spacing w:after="0" w:line="28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Third parties may infringe our patents or misappropriate or otherwise violate our intellectual property rights. Our patent applications cannot be enforced against third parties practicing the technology claimed in these applications unless and until a patent issues from the applications, and then only to the extent the issued claims cover the technology. In the future, we or our partners may elect to initiate legal proceedings to enforce or defend our or our partners’ intellectual property rights, to protect our or our partners’ trade secrets or to determine the validity or scope of our intellectual property rights. Any claims that we or our partners assert against perceived infringers could also provoke these parties to assert counterclaims against us or our partners alleging that we or our partners infringe their intellectual property rights or that our intellectual property rights are invalid. In patent litigation in the United States, defendant counterclaims alleging noninfringement, invalidity and/or unenforceability are commonplace, and there are numerous grounds upon which a third party can assert noninfringement, invalidity or unenforceability of a patent. The outcome following legal assertions of noninfringement, unpatentability, invalidity and unenforceability is unpredictable. With respect to the validity of patent rights, for example, we cannot be certain that there is no invalidating prior art, of which we, our patent counsel and the patent examiner were unaware during prosecution. If a defendant were to prevail on a legal assertion of unpatentability, invalidity and/or unenforceability, we would lose at least part, and perhaps all, of the patent protection on our product candidates. Such a loss of patent protection could have a material adverse impact on our business.</w:t>
      </w:r>
    </w:p>
    <w:p>
      <w:pPr>
        <w:spacing w:after="0" w:line="314"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Interference, derivation or opposition proceedings provoked by third parties, brought by us or our partners, or brought by the USPTO or any non-U.S. patent authority, may be necessary to determine the priority of inventions or matters of inventorship with respect to our patents or patent applications. We or our partners may also become involved in other proceedings, such as reexamination or opposition proceedings, inter partes review, post-grant review or other preissuance or post-grant proceedings in the USPTO or its foreign counterparts relating to our intellectual property or the intellectual property of others. Such proceedings could result in revocation or amendment to our patents in such a way that they no longer cover and protect our product candidates. An unfavorable outcome in any of these proceedings could require us or our partners to cease using the related technology and commercializing our product candidates, or to attempt to license rights to it from the prevailing party. Our business could be harmed if the prevailing party does not offer us or our partners a license on commercially reasonable terms if any license is offered at all. Even if we or our licensors obtain a license, it may be non-exclusive, thereby giving our competitors access to the same technologies licensed to us or our licensors.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31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Any intellectual property proceedings can be expensive and time-consuming. Our or our partners’ adversaries in these proceedings may have the ability to dedicate substantially greater resources to prosecuting these legal actions than we or our partners can.</w:t>
      </w: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Accordingly, despite our or our partners’ efforts, we or our partners may not be able to prevent third parties from infringing upon or misappropriating our intellectual property rights, particularly in countries where the laws may not protect our rights as fully as in the U.S. Even if we are successful in the relevant proceedings, we may incur substantial costs and the time and attention of our management and scientific personnel could be diverted from other activities. In addition, in an infringement proceeding, a court may decide that one or more of our patents is invalid or unenforceable, in whole or in part, may refuse to stop the other party from using the technology at issue on the grounds that our patents do not cover the technology in question, and/or may require us to pay the other party attorneys’ fees. An adverse result in any litigation proceeding could put one or more of our patents at risk of being invalidated, held unenforceable or interpreted narrowly.</w:t>
      </w:r>
    </w:p>
    <w:p>
      <w:pPr>
        <w:spacing w:after="0" w:line="300"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w:t>
      </w: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36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1"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other proprietary information, the value of our technology could be adversely affected and our business could be harmed.</w:t>
      </w:r>
    </w:p>
    <w:p>
      <w:pPr>
        <w:spacing w:after="0" w:line="28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to seeking the protection afforded by patents, we rely on trade secret protection and confidentiality agreements to protect proprietary know-how that is not patentable or that we elect not to patent, processes for which patents are difficult to enforce, and other elements of our technology, discovery and development processes that involve proprietary know-how, information or technology that is not covered by patents. Any disclosure to or misappropriation by third parties of our confidential proprietary information could enable competitors to quickly duplicate or surpass our technological achievements, including by enabling them to develop and commercialize products substantially similar to or competitive with our product candidates, thus eroding our competitive position in the market.</w:t>
      </w:r>
    </w:p>
    <w:p>
      <w:pPr>
        <w:spacing w:after="0" w:line="31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Trade secrets can be difficult to protect. We seek to protect our proprietary, confidential technology and processes, in part, by entering into confidentiality agreements and invention assignment agreements with our employees, consultants and outside scientific advisors, contractors and collaborators. These agreements are designed to protect our proprietary information. Although we use reasonable efforts to protect our trade secrets, our employees, consultants, contractors, or outside scientific advisors might intentionally or inadvertently disclose our trade secrets or confidential, proprietary information to competitors. In addition, competitors may otherwise gain access to our trade secrets or independently develop substantially equivalent information and techniques. If any of our confidential proprietary information were to be lawfully obtained or independently developed by a competitor, we would have no right to prevent such competitor from using that technology or information to compete with us, which could harm our competitive position.</w:t>
      </w:r>
    </w:p>
    <w:p>
      <w:pPr>
        <w:spacing w:after="0" w:line="318"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Enforcing a claim that a third party illegally obtained and is using any of our trade secrets is expensive and time consuming, and the outcome is unpredictable. In addition, the laws of certain foreign countries do not protect proprietary rights such as trade secrets to the same extent or in the same manner as the laws of the U.S. Misappropriation or unauthorized disclosure of our trade secrets to third parties could impair our competitive advantage in the market and could adversely affect our business, results of operations and financial condition.</w:t>
      </w:r>
    </w:p>
    <w:p>
      <w:pPr>
        <w:spacing w:after="0" w:line="292" w:lineRule="exact"/>
        <w:rPr>
          <w:sz w:val="20"/>
          <w:szCs w:val="20"/>
          <w:color w:val="auto"/>
        </w:rPr>
      </w:pPr>
    </w:p>
    <w:p>
      <w:pPr>
        <w:ind w:right="400"/>
        <w:spacing w:after="0" w:line="30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breached non-compete or non-solicit obligations and/or wrongfully used or disclosed confidential information of third parties.</w:t>
      </w:r>
    </w:p>
    <w:p>
      <w:pPr>
        <w:spacing w:after="0" w:line="28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breached non-compete or non-solicit obligations with respect to such individuals’ prior employers, or used or disclosed confidential information of these third parties or such individuals’ former employers. Dealing with such claims and negotiating with potential claimants could result in substantial cost and be a distraction to our management and employees. In addition, litigation may be necessary to defend against these claims, and even if we are successful in defending against these claims, such litigation could result in further costs to us and distraction to our management and employees.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347" w:lineRule="exact"/>
        <w:rPr>
          <w:sz w:val="20"/>
          <w:szCs w:val="20"/>
          <w:color w:val="auto"/>
        </w:rPr>
      </w:pPr>
    </w:p>
    <w:p>
      <w:pPr>
        <w:ind w:right="540"/>
        <w:spacing w:after="0" w:line="284"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30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organizational documents:</w:t>
      </w:r>
    </w:p>
    <w:p>
      <w:pPr>
        <w:spacing w:after="0" w:line="316" w:lineRule="exact"/>
        <w:rPr>
          <w:sz w:val="20"/>
          <w:szCs w:val="20"/>
          <w:color w:val="auto"/>
        </w:rPr>
      </w:pPr>
    </w:p>
    <w:p>
      <w:pPr>
        <w:ind w:left="900" w:right="80" w:hanging="143"/>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Class I, Class II and Class III, with each class serving staggered three-year terms;</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346" w:lineRule="exact"/>
        <w:rPr>
          <w:rFonts w:ascii="Arial" w:cs="Arial" w:eastAsia="Arial" w:hAnsi="Arial"/>
          <w:sz w:val="18"/>
          <w:szCs w:val="18"/>
          <w:color w:val="auto"/>
        </w:rPr>
      </w:pPr>
    </w:p>
    <w:p>
      <w:pPr>
        <w:ind w:left="900" w:right="20" w:hanging="143"/>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346" w:lineRule="exact"/>
        <w:rPr>
          <w:rFonts w:ascii="Arial" w:cs="Arial" w:eastAsia="Arial" w:hAnsi="Arial"/>
          <w:sz w:val="18"/>
          <w:szCs w:val="18"/>
          <w:color w:val="auto"/>
        </w:rPr>
      </w:pPr>
    </w:p>
    <w:p>
      <w:pPr>
        <w:ind w:left="900" w:right="560" w:hanging="143"/>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 stockholders to take actions only at a duly called annual or special meeting and not by unanimous written consent;</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358" w:lineRule="exact"/>
        <w:rPr>
          <w:rFonts w:ascii="Arial" w:cs="Arial" w:eastAsia="Arial" w:hAnsi="Arial"/>
          <w:sz w:val="17"/>
          <w:szCs w:val="17"/>
          <w:color w:val="auto"/>
        </w:rPr>
      </w:pPr>
    </w:p>
    <w:p>
      <w:pPr>
        <w:ind w:left="900" w:hanging="14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certain provisions of the bylaws; and</w:t>
      </w:r>
    </w:p>
    <w:p>
      <w:pPr>
        <w:spacing w:after="0" w:line="346" w:lineRule="exact"/>
        <w:rPr>
          <w:rFonts w:ascii="Arial" w:cs="Arial" w:eastAsia="Arial" w:hAnsi="Arial"/>
          <w:sz w:val="18"/>
          <w:szCs w:val="18"/>
          <w:color w:val="auto"/>
        </w:rPr>
      </w:pPr>
    </w:p>
    <w:p>
      <w:pPr>
        <w:ind w:left="900" w:right="740" w:hanging="143"/>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which is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314"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89"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limit our stockholders’ ability to obtain a favorable judicial forum for disputes with us or our directors, officers or employees.</w:t>
      </w:r>
    </w:p>
    <w:p>
      <w:pPr>
        <w:spacing w:after="0" w:line="36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will be the exclusive forum for the following types of actions or proceedings under Delaware statutory or common law:</w:t>
      </w:r>
    </w:p>
    <w:p>
      <w:pPr>
        <w:spacing w:after="0" w:line="311" w:lineRule="exact"/>
        <w:rPr>
          <w:sz w:val="20"/>
          <w:szCs w:val="20"/>
          <w:color w:val="auto"/>
        </w:rPr>
      </w:pPr>
    </w:p>
    <w:p>
      <w:pPr>
        <w:ind w:left="900" w:hanging="14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346" w:lineRule="exact"/>
        <w:rPr>
          <w:rFonts w:ascii="Arial" w:cs="Arial" w:eastAsia="Arial" w:hAnsi="Arial"/>
          <w:sz w:val="18"/>
          <w:szCs w:val="18"/>
          <w:color w:val="auto"/>
        </w:rPr>
      </w:pPr>
    </w:p>
    <w:p>
      <w:pPr>
        <w:ind w:left="900" w:right="980" w:hanging="143"/>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other employees, or stockholders to us or our stockholders;</w:t>
      </w:r>
    </w:p>
    <w:p>
      <w:pPr>
        <w:spacing w:after="0" w:line="305" w:lineRule="exact"/>
        <w:rPr>
          <w:rFonts w:ascii="Arial" w:cs="Arial" w:eastAsia="Arial" w:hAnsi="Arial"/>
          <w:sz w:val="18"/>
          <w:szCs w:val="18"/>
          <w:color w:val="auto"/>
        </w:rPr>
      </w:pPr>
    </w:p>
    <w:p>
      <w:pPr>
        <w:ind w:left="900" w:right="1000" w:hanging="143"/>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 our amended and restated certificate of incorporation and bylaws; and</w:t>
      </w:r>
    </w:p>
    <w:p>
      <w:pPr>
        <w:spacing w:after="0" w:line="305" w:lineRule="exact"/>
        <w:rPr>
          <w:rFonts w:ascii="Arial" w:cs="Arial" w:eastAsia="Arial" w:hAnsi="Arial"/>
          <w:sz w:val="18"/>
          <w:szCs w:val="18"/>
          <w:color w:val="auto"/>
        </w:rPr>
      </w:pPr>
    </w:p>
    <w:p>
      <w:pPr>
        <w:ind w:left="900" w:hanging="14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w:t>
      </w:r>
    </w:p>
    <w:p>
      <w:pPr>
        <w:spacing w:after="0" w:line="347"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Furthermore,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of 1933, as amended (Securities Act). However, these provisions would not apply to suits brought to enforce a duty or liability created by the Exchange Act or any other claim for which the federal courts have exclusive jurisdiction. 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w:t>
      </w:r>
    </w:p>
    <w:p>
      <w:pPr>
        <w:spacing w:after="0" w:line="29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We have in the past identified a material weakness in our internal control over financial reporting. If we identify additional material weaknesses in the future or otherwise fail to maintain effective internal control over financial reporting, we may not be able to accurately or timely report our financial condition or results of operations, which may significantly harm our business and the value of our common stock.</w:t>
      </w: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Sarbanes-Oxley Act (Section 404) requires that we evaluate and determine the effectiveness of our internal control over financial reporting. This assessment needs to include the disclosure of any material weaknesses in such internal control.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connection with the finalization of our consolidated financial statements as of and for the year ended December 31, 2019, we and our independent auditors concluded that a material weakness existed in our internal control over financial reporting relating to the review of the technical accounting for settlement of tranche liabilities. Specifically, in connection with our Series A preferred stock financing in 2019, we recorded a correcting adjustment to increase other non-operating expense for the change in fair value of the Series A preferred tranche liability after we initially recorded the amount as a deemed dividend. There were and have been no other tranche liabilities after the settlement of this liability in February 2019.</w:t>
      </w:r>
    </w:p>
    <w:p>
      <w:pPr>
        <w:spacing w:after="0" w:line="31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Although we believe that we have remediated this material weakness by hiring additional accounting and financial reporting personnel and have not identified any material weaknesses in connection with the finalization of our consolidated financial statements as of and for the year ended December 31, 2020, we cannot assure you that we will not identify other material weaknesses in the future.</w:t>
      </w: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75" w:name="page76"/>
    <w:bookmarkEnd w:id="75"/>
    <w:p>
      <w:pPr>
        <w:spacing w:after="0" w:line="268" w:lineRule="auto"/>
        <w:rPr>
          <w:sz w:val="20"/>
          <w:szCs w:val="20"/>
          <w:color w:val="auto"/>
        </w:rPr>
      </w:pPr>
      <w:r>
        <w:rPr>
          <w:rFonts w:ascii="Arial" w:cs="Arial" w:eastAsia="Arial" w:hAnsi="Arial"/>
          <w:sz w:val="18"/>
          <w:szCs w:val="18"/>
          <w:color w:val="auto"/>
        </w:rPr>
        <w:t>Furthermore, we may not have identified all material weaknesses, and our current controls and any new controls that we develop may become inadequate because of changes in personnel or conditions in our business or otherwise. Accordingly, we cannot assure you that any future material weaknesses will not result in a material misstatement of our consolidated financial statements and/or our failure to meet our public reporting obligations. In addition, if we and/or our independent registered public accounting firm are unable to conclude that our internal control over financial reporting is effective in the future, investor confidence in the accuracy and completeness of our consolidated financial statements would be adversely affected, which could significantly harm our business and the value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47" w:lineRule="exact"/>
        <w:rPr>
          <w:sz w:val="20"/>
          <w:szCs w:val="20"/>
          <w:color w:val="auto"/>
        </w:rPr>
      </w:pPr>
    </w:p>
    <w:p>
      <w:pPr>
        <w:ind w:right="580"/>
        <w:spacing w:after="0" w:line="30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consolidated financial statements could be impaired.</w:t>
      </w:r>
    </w:p>
    <w:p>
      <w:pPr>
        <w:spacing w:after="0" w:line="28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Pursuant to Section 404, our management will be required to report upon the effectiveness of our internal control over financial reporting beginning with our second filing of an Annual Report on Form 10-K with the SEC. When we lose our status as an “emerging growth company” and become an “accelerated filer” or a “large accelerated filer,”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313"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We cannot assure you that there will not be future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Stock Market, the U.S. Securities and Exchange Commission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369"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are subject to the periodic reporting requirements of the Exchange Act and we must maintain disclosure controls and procedures designed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36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market price of our common stock may be volatile and may fluctuate substantially as a result of a variety of factors, many of which are beyond our control. Some of the factors that may cause the market price of our common stock to fluctuate are listed below and other factors described in this "Risk Factors" section:</w:t>
      </w:r>
    </w:p>
    <w:p>
      <w:pPr>
        <w:spacing w:after="0" w:line="311" w:lineRule="exact"/>
        <w:rPr>
          <w:sz w:val="20"/>
          <w:szCs w:val="20"/>
          <w:color w:val="auto"/>
        </w:rPr>
      </w:pPr>
    </w:p>
    <w:p>
      <w:pPr>
        <w:ind w:left="5520" w:right="3360" w:hanging="4763"/>
        <w:spacing w:after="0" w:line="277" w:lineRule="auto"/>
        <w:tabs>
          <w:tab w:leader="none" w:pos="8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for our product candidates;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76" w:name="page77"/>
    <w:bookmarkEnd w:id="76"/>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or discontinuation of any of our product development and research programs;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 candidates or technologies;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clinical trials, or regulatory approvals of our competitors;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development and research programs;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including those concerning patent applications, issued patents, or other proprietary rights;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COVID-19 on our business and on global economic conditions;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or clinical development programs;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our financial results, forecasts and development timelines meet the expectations of securities analysts or investors;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sales of our common stock by us, our insiders, or other stockholders and the expiration of market standoff or lock-up agreements;</w:t>
      </w:r>
    </w:p>
    <w:p>
      <w:pPr>
        <w:spacing w:after="0" w:line="358" w:lineRule="exact"/>
        <w:rPr>
          <w:rFonts w:ascii="Arial" w:cs="Arial" w:eastAsia="Arial" w:hAnsi="Arial"/>
          <w:sz w:val="17"/>
          <w:szCs w:val="17"/>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healthcare sector;</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346" w:lineRule="exact"/>
        <w:rPr>
          <w:rFonts w:ascii="Arial" w:cs="Arial" w:eastAsia="Arial" w:hAnsi="Arial"/>
          <w:sz w:val="18"/>
          <w:szCs w:val="18"/>
          <w:color w:val="auto"/>
        </w:rPr>
      </w:pPr>
    </w:p>
    <w:p>
      <w:pPr>
        <w:ind w:left="900" w:hanging="1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4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In recent years, stock markets in general, and the market for healthcare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77" w:name="page78"/>
    <w:bookmarkEnd w:id="77"/>
    <w:p>
      <w:pPr>
        <w:ind w:right="540"/>
        <w:spacing w:after="0" w:line="30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publish negative or neutral evaluations of our stock, the price of our stock could decline.</w:t>
      </w:r>
    </w:p>
    <w:p>
      <w:pPr>
        <w:spacing w:after="0" w:line="2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securities analysts publish about us or our business. If one or more of the analysts covering our business initiate coverage with a neutral or sell rating or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92"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could cause the price of our common stock to decline.</w:t>
      </w:r>
    </w:p>
    <w:p>
      <w:pPr>
        <w:spacing w:after="0" w:line="28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following the expiration of the market standoff and lock-up agreements relating to our IPO, or the early release of these agreements or the perception in the market that the holders of a large number of shares of common stock intend to sell shares, and could reduce the market price of our common stock. As of June 30, 2021, we have 238,548,843 shares of common stock outstanding. Of these shares, the 25,000,000 shares were sold in our IPO and may be resold in the public market immediately, unless purchased by our affiliates. Substantially all of the remaining shares of our common stock is outstanding is currently prohibited or otherwise restricted under securities laws, market standoff agreements entered into by our stockholders with us, or lock-up agreements entered into by our stockholders with the underwriters of our IPO; however, subject to applicable securities law restrictions and excluding shares of restricted stock that will remain unvested, these shares will be able to be sold in the public market beginning 180 days after the date of the Prospectus. The representatives of the underwriters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31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Moreover, holders of an aggregate of approximately 194.5 million shares of our common stock will have rights, subject to conditions, to require us to file registration statements with the SEC covering their shares or to include their shares in registration statements that we may file for ourselves or other stockholders. We also have registered all shares of common stock that we may issue under our equity compensation plans. These shares can be freely sold in the public market upon issuance and once vested, subject to volume limitations applicable to affiliates and the lock-up agreements described in the Prospectus. If any of these additional shares are sold, or if it is perceived that they will be sold, in the public market, the market price of our common stock could decline.</w:t>
      </w:r>
    </w:p>
    <w:p>
      <w:pPr>
        <w:spacing w:after="0" w:line="292"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our products.</w:t>
      </w:r>
    </w:p>
    <w:p>
      <w:pPr>
        <w:spacing w:after="0" w:line="28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We, and indirectly, our stockholders, will bear the cost of issuing and servicing securities issued in any such transactions.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alliances, or licensing arrangements with third parties, we may have to relinquish valuable rights to our technologies or our products, or grant licenses on terms unfavorable to us. Certain of the foregoing transactions may require us to obtain stockholder approval, which we may not be able to obtain.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78" w:name="page79"/>
    <w:bookmarkEnd w:id="78"/>
    <w:p>
      <w:pPr>
        <w:ind w:right="140"/>
        <w:spacing w:after="0" w:line="303"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28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are an “emerging growth company” as defined in the JOBS Act. For so long as we remain an emerging growth company, we are permitted by SEC rules and plan to rely on exemptions from certain disclosure requirements that are applicable to other SEC-registered public companies that are not emerging growth companies. These exemptions include not being required to comply with the auditor attestation requirements of Section 404, not being required to comply with the auditor requirements to communicate critical audit matters in the auditor’s report on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94"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i w:val="1"/>
          <w:iCs w:val="1"/>
          <w:color w:val="auto"/>
        </w:rPr>
        <w:t>Future acquisitions, strategic investments, partnerships, or alliances could be difficult to identify and integrate, divert the attention of management, disrupt our business, dilute stockholder value and adversely affect our operating results and financial condition.</w:t>
      </w:r>
    </w:p>
    <w:p>
      <w:pPr>
        <w:spacing w:after="0" w:line="282"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We may in the future seek to acquire or invest in businesses, products or technologies that we believe could complement or expand our technology platforms, enhance our technical capabilities, or otherwise offer growth opportunities. The pursuit of potential acquisitions may divert the attention of management and cause us to incur various expenses in identifying, investigating and pursuing suitable acquisitions, whether or not such acquisitions are completed. In addition, we have only limited experience in acquiring other businesses, and we may not successfully identify desirable acquisition targets, or if we acquire additional businesses, we may not be able to integrate them effectively. following the acquisition.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w:t>
      </w:r>
    </w:p>
    <w:p>
      <w:pPr>
        <w:spacing w:after="0" w:line="295"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i w:val="1"/>
          <w:iCs w:val="1"/>
          <w:color w:val="auto"/>
        </w:rPr>
        <w:t>The requirements of being a public company require our management to devote substantial time to new compliance initiatives and corporate governance practices and could divert management's attention and strain our resources.</w:t>
      </w:r>
    </w:p>
    <w:p>
      <w:pPr>
        <w:spacing w:after="0" w:line="282"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As a public company, and particularly after we are no longer an emerging growth company, we incur and will continue to incur significant legal, accounting, and other expenses that we did not incur as a private company. Section 404, the Dodd-Frank Wall Street Reform and Consumer Protection Act, the listing requirements and rules of The Nasdaq Stock Market LLC (Nasdaq Listing Rules), and other applicable U.S. rules and regulations impose various requirements on public companies, including establishment and maintenance of effective disclosure and financial controls and corporate governance practices. We continue to need to hire additional accounting, finance and other personnel in connection with our efforts to comply with the requirements of being, a public company, and our management and other personnel will continue to need to devote a substantial amount of time towards maintaining compliance with these requirements. These requirements will increase our legal and financial compliance costs and will make some activities more time-consuming and costly. For example, the rules and regulations applicable to us as a public company may make it more difficult and more expensive for us to obtain director and officer liability insurance.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79" w:name="page80"/>
    <w:bookmarkEnd w:id="79"/>
    <w:p>
      <w:pPr>
        <w:ind w:right="20"/>
        <w:spacing w:after="0" w:line="267"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beginning with our second filing of an Annual Report on Form 10-K with the SEC.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36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As of December 31, 2020, we had federal and state net operating loss (NOLs) carryforwards of approximately $116.1 million and $61.2 million, respectively. Under the Tax Cuts and Jobs Act of 2017 (the Tax Act), as modified by the Coronavirus Aid, Relief, and Economic Security Act (the CARES Act), our NOLs generated in tax years beginning after December 31, 2017, may be carried forward indefinitely, but the deductibility of such federal NOLs in tax years beginning after December 31, 2020, is limited to 80% of taxable income. It is uncertain if and to what extent various states will conform to the Tax Act or the CARES Act. In addition, under Sections 382 and 383 of the U.S.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and may experience ownership changes as a result of our IPO and/or subsequent shifts in our stock ownership (some of which may be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 For example, California recently imposed limits on the usability of California state NOLs and tax credits to offset California taxable income in tax years beginning after December 31, 2019 and before January 1, 2023. As a result, even if we attain profitability, we may be unable to use a material portion of our NOLs and tax credits.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or security breaches.</w:t>
      </w:r>
    </w:p>
    <w:p>
      <w:pPr>
        <w:spacing w:after="0" w:line="36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internal computer systems, and those of our partners, are vulnerable to damage from computer viruses, unauthorized access, natural disasters, fire, terrorism, war and telecommunication and electrical failures. We exercise little or no control over these third parties, which increases our vulnerability to problems with their systems. To the extent that any disruption or security breach results in a loss of or damage to our data or applications, or inappropriate disclosure of confidential or proprietary information, we could incur liability, the further development of our product candidates could be delayed and our business could be otherwise adversely affected.</w:t>
      </w:r>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While we have not experienced any material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w:t>
      </w:r>
    </w:p>
    <w:p>
      <w:pPr>
        <w:spacing w:after="0" w:line="31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w:t>
      </w: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80" w:name="page81"/>
    <w:bookmarkEnd w:id="80"/>
    <w:p>
      <w:pPr>
        <w:ind w:right="100"/>
        <w:spacing w:after="0" w:line="269" w:lineRule="auto"/>
        <w:rPr>
          <w:sz w:val="20"/>
          <w:szCs w:val="20"/>
          <w:color w:val="auto"/>
        </w:rPr>
      </w:pPr>
      <w:r>
        <w:rPr>
          <w:rFonts w:ascii="Arial" w:cs="Arial" w:eastAsia="Arial" w:hAnsi="Arial"/>
          <w:sz w:val="18"/>
          <w:szCs w:val="18"/>
          <w:color w:val="auto"/>
        </w:rPr>
        <w:t>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92"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i w:val="1"/>
          <w:iCs w:val="1"/>
          <w:color w:val="auto"/>
        </w:rPr>
        <w:t>Indemnity provisions in various agreements potentially expose us to substantial liability for intellectual property infringement, data protection and other losses.</w:t>
      </w:r>
    </w:p>
    <w:p>
      <w:pPr>
        <w:spacing w:after="0" w:line="28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agreements with third parties may include indemnification provisions under which we agree to indemnify them for losses suffered or incurred as a result of claims of intellectual property infringement or other liabilities relating to or arising from our contractual obligations. Large indemnity payments could harm our business and financial condition. Although we normally contractually limit our liability with respect to such obligations, we may still incur substantial liability. Any dispute with a third party with respect to such obligations could have adverse effects on our relationship with that third party and relationships with other existing or new partners, harming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369"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Unregistered securities sold by us from April 1, 2021 through June 30, 2021 consisted of 257,997 shares of common stock issued upon the exercise of options for aggregate cash proceeds of $0.6 million. The issuance and sale of such shares of common stock were deemed to be exempt from registration under Rule 701 promulgated under the Securities Act of 1933, as amended, or the Securities Act, as transactions under compensatory benefit plans and contracts relating to compensation, or under Section 4(a)(2) of the Securities Act as transactions by an issuer not involving a public offering. The recipients of such shares of common stock were our directors, employees or bona fide consultants and received the securities under our equity incentive plans. Appropriate legends were affixed to the shares of common stock issued in these transactions. Each of the recipients of common stock in these transactions had adequate access, through employment, business or other relationships, to information about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369"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On June 16, 2021, our Registration Statement on Form S-1 (File No. 333-256470) relating to our IPO of common stock was declared effective. The Registration Statement registered the issuance of up to 28,750,000 shares, at a public offering price of $17.00 per share, with an aggregate offering price of $488,750,000. On June 21, 2021, we issued and sold 25,000,000 million shares of common stock under the Registration Statement at a public offering price of $17.00 per share, for aggregate gross proceeds of $425.0 million, resulting in net proceeds to us of $391.8 million, after deducting underwriting discounts and commissions of $29.8 million and other offering expenses of $3.4 million. Upon completion of the sale of the shares of our common stock referenced in the preceding sentence, our IPO terminated. Goldman Sachs &amp; Co. LLC, BofA Securities, Inc., J.P. Morgan Securities, LLC and Morgan Stanley &amp; Co. LLC acted as joint bookrunning managers of the initial public offering and as representatives of the underwriters.</w:t>
      </w:r>
    </w:p>
    <w:p>
      <w:pPr>
        <w:spacing w:after="0" w:line="318"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The net proceeds from our IPO have been invested according to our approved investment policy in a mix of money market funds and high-quality, fixed income securities with a maturity date of two years or less. There has been no material change in the planned use of proceeds from our IPO from that described in the Prospectus.</w:t>
      </w:r>
    </w:p>
    <w:p>
      <w:pPr>
        <w:spacing w:after="0" w:line="31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No payments were made from our net proceeds or as offering expenses directly or indirectly to any of our directors or officers (or their associates) or persons owning 10.0% or more of any class of our equity securities or to any other affiliates, other than payments from our net proceeds in the ordinary course of business to officers for salaries and to non-employee directors as compensation for service on the board of directors or committees of the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20" w:type="dxa"/>
            <w:vAlign w:val="bottom"/>
            <w:tcBorders>
              <w:bottom w:val="single" w:sz="8" w:color="auto"/>
            </w:tcBorders>
            <w:gridSpan w:val="13"/>
          </w:tcPr>
          <w:p>
            <w:pPr>
              <w:ind w:left="224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1120" w:type="dxa"/>
            <w:vAlign w:val="bottom"/>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FF"/>
              </w:rPr>
            </w:pPr>
            <w:hyperlink r:id="rId281">
              <w:r>
                <w:rPr>
                  <w:rFonts w:ascii="Arial" w:cs="Arial" w:eastAsia="Arial" w:hAnsi="Arial"/>
                  <w:sz w:val="18"/>
                  <w:szCs w:val="18"/>
                  <w:color w:val="0000FF"/>
                </w:rPr>
                <w:t>Amended and Restated Certificate of Incorporation (incorporated herein by reference to Exhibit 4.1 to the Company’s</w:t>
              </w:r>
            </w:hyperlink>
          </w:p>
        </w:tc>
      </w:tr>
      <w:tr>
        <w:trPr>
          <w:trHeight w:val="209"/>
        </w:trPr>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tcBorders>
              <w:top w:val="single" w:sz="8" w:color="0000FF"/>
            </w:tcBorders>
            <w:gridSpan w:val="8"/>
          </w:tcPr>
          <w:p>
            <w:pPr>
              <w:spacing w:after="0"/>
              <w:rPr>
                <w:rFonts w:ascii="Arial" w:cs="Arial" w:eastAsia="Arial" w:hAnsi="Arial"/>
                <w:sz w:val="18"/>
                <w:szCs w:val="18"/>
                <w:color w:val="0000FF"/>
              </w:rPr>
            </w:pPr>
            <w:hyperlink r:id="rId281">
              <w:r>
                <w:rPr>
                  <w:rFonts w:ascii="Arial" w:cs="Arial" w:eastAsia="Arial" w:hAnsi="Arial"/>
                  <w:sz w:val="18"/>
                  <w:szCs w:val="18"/>
                  <w:color w:val="0000FF"/>
                </w:rPr>
                <w:t>Registration Statement on Form S-8 (File No. 333-257249), filed with the SEC on June 21, 2021).</w:t>
              </w:r>
            </w:hyperlink>
          </w:p>
        </w:tc>
        <w:tc>
          <w:tcPr>
            <w:tcW w:w="660" w:type="dxa"/>
            <w:vAlign w:val="bottom"/>
            <w:gridSpan w:val="7"/>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9900" w:type="dxa"/>
            <w:vAlign w:val="bottom"/>
            <w:tcBorders>
              <w:bottom w:val="single" w:sz="8" w:color="0000FF"/>
            </w:tcBorders>
            <w:gridSpan w:val="14"/>
          </w:tcPr>
          <w:p>
            <w:pPr>
              <w:spacing w:after="0"/>
              <w:rPr>
                <w:rFonts w:ascii="Arial" w:cs="Arial" w:eastAsia="Arial" w:hAnsi="Arial"/>
                <w:sz w:val="18"/>
                <w:szCs w:val="18"/>
                <w:color w:val="0000FF"/>
                <w:w w:val="99"/>
              </w:rPr>
            </w:pPr>
            <w:hyperlink r:id="rId282">
              <w:r>
                <w:rPr>
                  <w:rFonts w:ascii="Arial" w:cs="Arial" w:eastAsia="Arial" w:hAnsi="Arial"/>
                  <w:sz w:val="18"/>
                  <w:szCs w:val="18"/>
                  <w:color w:val="0000FF"/>
                  <w:w w:val="99"/>
                </w:rPr>
                <w:t>Amended and Restated Bylaws (incorporated herein by reference to Exhibit 4.2 to the Company’s Registration Statement on</w:t>
              </w:r>
            </w:hyperlink>
          </w:p>
        </w:tc>
        <w:tc>
          <w:tcPr>
            <w:tcW w:w="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Borders>
              <w:bottom w:val="single" w:sz="8" w:color="0000FF"/>
            </w:tcBorders>
            <w:gridSpan w:val="3"/>
          </w:tcPr>
          <w:p>
            <w:pPr>
              <w:spacing w:after="0"/>
              <w:rPr>
                <w:rFonts w:ascii="Arial" w:cs="Arial" w:eastAsia="Arial" w:hAnsi="Arial"/>
                <w:sz w:val="18"/>
                <w:szCs w:val="18"/>
                <w:color w:val="0000FF"/>
                <w:w w:val="99"/>
              </w:rPr>
            </w:pPr>
            <w:hyperlink r:id="rId282">
              <w:r>
                <w:rPr>
                  <w:rFonts w:ascii="Arial" w:cs="Arial" w:eastAsia="Arial" w:hAnsi="Arial"/>
                  <w:sz w:val="18"/>
                  <w:szCs w:val="18"/>
                  <w:color w:val="0000FF"/>
                  <w:w w:val="99"/>
                </w:rPr>
                <w:t>Form S-8 (File No. 333-257249), filed with the SEC on June 21, 2021).</w:t>
              </w:r>
            </w:hyperlink>
          </w:p>
        </w:tc>
        <w:tc>
          <w:tcPr>
            <w:tcW w:w="20" w:type="dxa"/>
            <w:vAlign w:val="bottom"/>
            <w:tcBorders>
              <w:bottom w:val="single" w:sz="8" w:color="0000EE"/>
            </w:tcBorders>
          </w:tcPr>
          <w:p>
            <w:pPr>
              <w:spacing w:after="0"/>
              <w:rPr>
                <w:sz w:val="18"/>
                <w:szCs w:val="18"/>
                <w:color w:val="auto"/>
              </w:rPr>
            </w:pPr>
          </w:p>
        </w:tc>
        <w:tc>
          <w:tcPr>
            <w:tcW w:w="4300" w:type="dxa"/>
            <w:vAlign w:val="bottom"/>
            <w:gridSpan w:val="11"/>
          </w:tcPr>
          <w:p>
            <w:pPr>
              <w:spacing w:after="0"/>
              <w:rPr>
                <w:sz w:val="18"/>
                <w:szCs w:val="18"/>
                <w:color w:val="auto"/>
              </w:rPr>
            </w:pPr>
          </w:p>
        </w:tc>
      </w:tr>
      <w:tr>
        <w:trPr>
          <w:trHeight w:val="236"/>
        </w:trPr>
        <w:tc>
          <w:tcPr>
            <w:tcW w:w="1120" w:type="dxa"/>
            <w:vAlign w:val="bottom"/>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9880" w:type="dxa"/>
            <w:vAlign w:val="bottom"/>
            <w:tcBorders>
              <w:bottom w:val="single" w:sz="8" w:color="0000FF"/>
            </w:tcBorders>
            <w:gridSpan w:val="13"/>
          </w:tcPr>
          <w:p>
            <w:pPr>
              <w:spacing w:after="0"/>
              <w:rPr>
                <w:rFonts w:ascii="Arial" w:cs="Arial" w:eastAsia="Arial" w:hAnsi="Arial"/>
                <w:sz w:val="18"/>
                <w:szCs w:val="18"/>
                <w:color w:val="0000FF"/>
                <w:w w:val="99"/>
              </w:rPr>
            </w:pPr>
            <w:hyperlink r:id="rId283">
              <w:r>
                <w:rPr>
                  <w:rFonts w:ascii="Arial" w:cs="Arial" w:eastAsia="Arial" w:hAnsi="Arial"/>
                  <w:sz w:val="18"/>
                  <w:szCs w:val="18"/>
                  <w:color w:val="0000FF"/>
                  <w:w w:val="99"/>
                </w:rPr>
                <w:t>Form of Common Stock Certificate (incorporated herein by reference to Exhibit 4.1 to the Company’s Registration Statement</w:t>
              </w:r>
            </w:hyperlink>
          </w:p>
        </w:tc>
        <w:tc>
          <w:tcPr>
            <w:tcW w:w="60" w:type="dxa"/>
            <w:vAlign w:val="bottom"/>
            <w:gridSpan w:val="2"/>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gridSpan w:val="15"/>
          </w:tcPr>
          <w:p>
            <w:pPr>
              <w:spacing w:after="0"/>
              <w:rPr>
                <w:rFonts w:ascii="Arial" w:cs="Arial" w:eastAsia="Arial" w:hAnsi="Arial"/>
                <w:sz w:val="18"/>
                <w:szCs w:val="18"/>
                <w:color w:val="0000FF"/>
              </w:rPr>
            </w:pPr>
            <w:hyperlink r:id="rId283">
              <w:r>
                <w:rPr>
                  <w:rFonts w:ascii="Arial" w:cs="Arial" w:eastAsia="Arial" w:hAnsi="Arial"/>
                  <w:sz w:val="18"/>
                  <w:szCs w:val="18"/>
                  <w:color w:val="0000FF"/>
                </w:rPr>
                <w:t>on Form S-1 (File No. 333-256470), filed with the SEC on June 9, 2021).</w:t>
              </w:r>
            </w:hyperlink>
          </w:p>
        </w:tc>
      </w:tr>
      <w:tr>
        <w:trPr>
          <w:trHeight w:val="20"/>
        </w:trPr>
        <w:tc>
          <w:tcPr>
            <w:tcW w:w="1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60" w:type="dxa"/>
            <w:vAlign w:val="bottom"/>
            <w:tcBorders>
              <w:right w:val="single" w:sz="8" w:color="0000EE"/>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36"/>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0"/>
                <w:szCs w:val="20"/>
                <w:color w:val="auto"/>
              </w:rPr>
            </w:pPr>
          </w:p>
        </w:tc>
        <w:tc>
          <w:tcPr>
            <w:tcW w:w="9940" w:type="dxa"/>
            <w:vAlign w:val="bottom"/>
            <w:gridSpan w:val="15"/>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Certification of Principal Executive Officer Pursuant to Rules 13a-14(a) and 15d-14(a) under the Securities Exchange Act of</w:t>
              </w:r>
            </w:hyperlink>
          </w:p>
        </w:tc>
      </w:tr>
      <w:tr>
        <w:trPr>
          <w:trHeight w:val="210"/>
        </w:trPr>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tcBorders>
              <w:top w:val="single" w:sz="8" w:color="0000FF"/>
            </w:tcBorders>
            <w:gridSpan w:val="12"/>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1934, as Adopted Pursuant to Section 302 of the Sarbanes-Oxley Act of 2002.</w:t>
              </w:r>
            </w:hyperlink>
          </w:p>
        </w:tc>
        <w:tc>
          <w:tcPr>
            <w:tcW w:w="160" w:type="dxa"/>
            <w:vAlign w:val="bottom"/>
            <w:gridSpan w:val="3"/>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gridSpan w:val="4"/>
            <w:shd w:val="clear" w:color="auto" w:fill="0000FF"/>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37"/>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0"/>
                <w:szCs w:val="20"/>
                <w:color w:val="auto"/>
              </w:rPr>
            </w:pPr>
          </w:p>
        </w:tc>
        <w:tc>
          <w:tcPr>
            <w:tcW w:w="9940" w:type="dxa"/>
            <w:vAlign w:val="bottom"/>
            <w:gridSpan w:val="15"/>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Certification of Principal Financial Officer Pursuant to Rules 13a-14(a) and 15d-14(a) under the Securities Exchange Act of</w:t>
              </w:r>
            </w:hyperlink>
          </w:p>
        </w:tc>
      </w:tr>
      <w:tr>
        <w:trPr>
          <w:trHeight w:val="209"/>
        </w:trPr>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20" w:type="dxa"/>
            <w:vAlign w:val="bottom"/>
            <w:tcBorders>
              <w:top w:val="single" w:sz="8" w:color="0000FF"/>
            </w:tcBorders>
            <w:gridSpan w:val="11"/>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1934, as Adopted Pursuant to Section 302 of the Sarbanes-Oxley Act of 2002.</w:t>
              </w:r>
            </w:hyperlink>
          </w:p>
        </w:tc>
        <w:tc>
          <w:tcPr>
            <w:tcW w:w="220" w:type="dxa"/>
            <w:vAlign w:val="bottom"/>
            <w:gridSpan w:val="4"/>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gridSpan w:val="4"/>
            <w:shd w:val="clear" w:color="auto" w:fill="0000FF"/>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237"/>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0"/>
                <w:szCs w:val="20"/>
                <w:color w:val="auto"/>
              </w:rPr>
            </w:pPr>
          </w:p>
        </w:tc>
        <w:tc>
          <w:tcPr>
            <w:tcW w:w="9940" w:type="dxa"/>
            <w:vAlign w:val="bottom"/>
            <w:gridSpan w:val="15"/>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209"/>
        </w:trPr>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Borders>
              <w:top w:val="single" w:sz="8" w:color="0000FF"/>
              <w:bottom w:val="single" w:sz="8" w:color="0000FF"/>
            </w:tcBorders>
          </w:tcPr>
          <w:p>
            <w:pPr>
              <w:spacing w:after="0"/>
              <w:rPr>
                <w:rFonts w:ascii="Arial" w:cs="Arial" w:eastAsia="Arial" w:hAnsi="Arial"/>
                <w:sz w:val="18"/>
                <w:szCs w:val="18"/>
                <w:color w:val="0000FF"/>
                <w:w w:val="99"/>
              </w:rPr>
            </w:pPr>
            <w:hyperlink w:anchor="page86">
              <w:r>
                <w:rPr>
                  <w:rFonts w:ascii="Arial" w:cs="Arial" w:eastAsia="Arial" w:hAnsi="Arial"/>
                  <w:sz w:val="18"/>
                  <w:szCs w:val="18"/>
                  <w:color w:val="0000FF"/>
                  <w:w w:val="99"/>
                </w:rPr>
                <w:t>Sarbanes-Oxley Act of 2002.</w:t>
              </w:r>
            </w:hyperlink>
          </w:p>
        </w:tc>
        <w:tc>
          <w:tcPr>
            <w:tcW w:w="20" w:type="dxa"/>
            <w:vAlign w:val="bottom"/>
            <w:tcBorders>
              <w:top w:val="single" w:sz="8" w:color="0000FF"/>
              <w:bottom w:val="single" w:sz="8" w:color="0000EE"/>
            </w:tcBorders>
          </w:tcPr>
          <w:p>
            <w:pPr>
              <w:spacing w:after="0"/>
              <w:rPr>
                <w:sz w:val="18"/>
                <w:szCs w:val="18"/>
                <w:color w:val="auto"/>
              </w:rPr>
            </w:pPr>
          </w:p>
        </w:tc>
        <w:tc>
          <w:tcPr>
            <w:tcW w:w="7340" w:type="dxa"/>
            <w:vAlign w:val="bottom"/>
            <w:tcBorders>
              <w:top w:val="single" w:sz="8" w:color="0000FF"/>
            </w:tcBorders>
            <w:gridSpan w:val="8"/>
          </w:tcPr>
          <w:p>
            <w:pPr>
              <w:spacing w:after="0"/>
              <w:rPr>
                <w:sz w:val="18"/>
                <w:szCs w:val="18"/>
                <w:color w:val="auto"/>
              </w:rPr>
            </w:pPr>
          </w:p>
        </w:tc>
        <w:tc>
          <w:tcPr>
            <w:tcW w:w="280" w:type="dxa"/>
            <w:vAlign w:val="bottom"/>
            <w:gridSpan w:val="5"/>
          </w:tcPr>
          <w:p>
            <w:pPr>
              <w:spacing w:after="0"/>
              <w:rPr>
                <w:sz w:val="18"/>
                <w:szCs w:val="18"/>
                <w:color w:val="auto"/>
              </w:rPr>
            </w:pPr>
          </w:p>
        </w:tc>
      </w:tr>
      <w:tr>
        <w:trPr>
          <w:trHeight w:val="237"/>
        </w:trPr>
        <w:tc>
          <w:tcPr>
            <w:tcW w:w="1120" w:type="dxa"/>
            <w:vAlign w:val="bottom"/>
          </w:tcPr>
          <w:p>
            <w:pPr>
              <w:ind w:left="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0"/>
                <w:szCs w:val="20"/>
                <w:color w:val="auto"/>
              </w:rPr>
            </w:pPr>
          </w:p>
        </w:tc>
        <w:tc>
          <w:tcPr>
            <w:tcW w:w="9940" w:type="dxa"/>
            <w:vAlign w:val="bottom"/>
            <w:gridSpan w:val="15"/>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Certification of Principal Financial Officer Pursuant to 18 U.S.C. Section 1350, as Adopted Pursuant to Section 906 of the</w:t>
              </w:r>
            </w:hyperlink>
          </w:p>
        </w:tc>
      </w:tr>
      <w:tr>
        <w:trPr>
          <w:trHeight w:val="210"/>
        </w:trPr>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Borders>
              <w:top w:val="single" w:sz="8" w:color="0000FF"/>
              <w:bottom w:val="single" w:sz="8" w:color="0000FF"/>
            </w:tcBorders>
          </w:tcPr>
          <w:p>
            <w:pPr>
              <w:spacing w:after="0"/>
              <w:rPr>
                <w:rFonts w:ascii="Arial" w:cs="Arial" w:eastAsia="Arial" w:hAnsi="Arial"/>
                <w:sz w:val="18"/>
                <w:szCs w:val="18"/>
                <w:color w:val="0000FF"/>
                <w:w w:val="99"/>
              </w:rPr>
            </w:pPr>
            <w:hyperlink w:anchor="page87">
              <w:r>
                <w:rPr>
                  <w:rFonts w:ascii="Arial" w:cs="Arial" w:eastAsia="Arial" w:hAnsi="Arial"/>
                  <w:sz w:val="18"/>
                  <w:szCs w:val="18"/>
                  <w:color w:val="0000FF"/>
                  <w:w w:val="99"/>
                </w:rPr>
                <w:t>Sarbanes-Oxley Act of 2002.</w:t>
              </w:r>
            </w:hyperlink>
          </w:p>
        </w:tc>
        <w:tc>
          <w:tcPr>
            <w:tcW w:w="20" w:type="dxa"/>
            <w:vAlign w:val="bottom"/>
            <w:tcBorders>
              <w:top w:val="single" w:sz="8" w:color="0000FF"/>
              <w:bottom w:val="single" w:sz="8" w:color="0000EE"/>
            </w:tcBorders>
          </w:tcPr>
          <w:p>
            <w:pPr>
              <w:spacing w:after="0"/>
              <w:rPr>
                <w:sz w:val="18"/>
                <w:szCs w:val="18"/>
                <w:color w:val="auto"/>
              </w:rPr>
            </w:pPr>
          </w:p>
        </w:tc>
        <w:tc>
          <w:tcPr>
            <w:tcW w:w="7280" w:type="dxa"/>
            <w:vAlign w:val="bottom"/>
            <w:tcBorders>
              <w:top w:val="single" w:sz="8" w:color="0000FF"/>
            </w:tcBorders>
            <w:gridSpan w:val="7"/>
          </w:tcPr>
          <w:p>
            <w:pPr>
              <w:spacing w:after="0"/>
              <w:rPr>
                <w:sz w:val="18"/>
                <w:szCs w:val="18"/>
                <w:color w:val="auto"/>
              </w:rPr>
            </w:pPr>
          </w:p>
        </w:tc>
        <w:tc>
          <w:tcPr>
            <w:tcW w:w="340" w:type="dxa"/>
            <w:vAlign w:val="bottom"/>
            <w:gridSpan w:val="6"/>
          </w:tcPr>
          <w:p>
            <w:pPr>
              <w:spacing w:after="0"/>
              <w:rPr>
                <w:sz w:val="18"/>
                <w:szCs w:val="18"/>
                <w:color w:val="auto"/>
              </w:rPr>
            </w:pPr>
          </w:p>
        </w:tc>
      </w:tr>
      <w:tr>
        <w:trPr>
          <w:trHeight w:val="277"/>
        </w:trPr>
        <w:tc>
          <w:tcPr>
            <w:tcW w:w="1120" w:type="dxa"/>
            <w:vAlign w:val="bottom"/>
          </w:tcPr>
          <w:p>
            <w:pPr>
              <w:ind w:left="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r>
      <w:tr>
        <w:trPr>
          <w:trHeight w:val="230"/>
        </w:trPr>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56"/>
        </w:trPr>
        <w:tc>
          <w:tcPr>
            <w:tcW w:w="1120" w:type="dxa"/>
            <w:vAlign w:val="bottom"/>
          </w:tcPr>
          <w:p>
            <w:pPr>
              <w:ind w:left="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2"/>
                <w:szCs w:val="22"/>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7"/>
        </w:trPr>
        <w:tc>
          <w:tcPr>
            <w:tcW w:w="1120" w:type="dxa"/>
            <w:vAlign w:val="bottom"/>
          </w:tcPr>
          <w:p>
            <w:pPr>
              <w:ind w:left="2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2"/>
                <w:szCs w:val="22"/>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6"/>
        </w:trPr>
        <w:tc>
          <w:tcPr>
            <w:tcW w:w="1120" w:type="dxa"/>
            <w:vAlign w:val="bottom"/>
          </w:tcPr>
          <w:p>
            <w:pPr>
              <w:ind w:left="2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2"/>
                <w:szCs w:val="22"/>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7"/>
        </w:trPr>
        <w:tc>
          <w:tcPr>
            <w:tcW w:w="1120" w:type="dxa"/>
            <w:vAlign w:val="bottom"/>
          </w:tcPr>
          <w:p>
            <w:pPr>
              <w:ind w:left="2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2"/>
                <w:szCs w:val="22"/>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6"/>
        </w:trPr>
        <w:tc>
          <w:tcPr>
            <w:tcW w:w="1120" w:type="dxa"/>
            <w:vAlign w:val="bottom"/>
          </w:tcPr>
          <w:p>
            <w:pPr>
              <w:ind w:left="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2"/>
                <w:szCs w:val="22"/>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40" w:lineRule="exact"/>
        <w:rPr>
          <w:sz w:val="20"/>
          <w:szCs w:val="20"/>
          <w:color w:val="auto"/>
        </w:rPr>
      </w:pPr>
    </w:p>
    <w:p>
      <w:pPr>
        <w:ind w:left="1300" w:hanging="1279"/>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30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9512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1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certification attached as Exhibit 32.1 and Exhibit 32.2 that accompany this Quarterly Report on Form 10-Q is not deemed filed with</w:t>
      </w:r>
    </w:p>
    <w:p>
      <w:pPr>
        <w:spacing w:after="0" w:line="23" w:lineRule="exact"/>
        <w:rPr>
          <w:sz w:val="20"/>
          <w:szCs w:val="20"/>
          <w:color w:val="auto"/>
        </w:rPr>
      </w:pPr>
    </w:p>
    <w:p>
      <w:pPr>
        <w:ind w:left="520" w:right="260"/>
        <w:spacing w:after="0" w:line="266" w:lineRule="auto"/>
        <w:rPr>
          <w:sz w:val="20"/>
          <w:szCs w:val="20"/>
          <w:color w:val="auto"/>
        </w:rPr>
      </w:pPr>
      <w:r>
        <w:rPr>
          <w:rFonts w:ascii="Arial" w:cs="Arial" w:eastAsia="Arial" w:hAnsi="Arial"/>
          <w:sz w:val="18"/>
          <w:szCs w:val="18"/>
          <w:color w:val="auto"/>
        </w:rPr>
        <w:t>the Securities and Exchange Commission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7480" w:type="dxa"/>
            <w:vAlign w:val="bottom"/>
            <w:gridSpan w:val="2"/>
          </w:tcPr>
          <w:p>
            <w:pPr>
              <w:ind w:left="1940"/>
              <w:spacing w:after="0"/>
              <w:rPr>
                <w:sz w:val="20"/>
                <w:szCs w:val="20"/>
                <w:color w:val="auto"/>
              </w:rPr>
            </w:pPr>
            <w:r>
              <w:rPr>
                <w:rFonts w:ascii="Arial" w:cs="Arial" w:eastAsia="Arial" w:hAnsi="Arial"/>
                <w:sz w:val="18"/>
                <w:szCs w:val="18"/>
                <w:b w:val="1"/>
                <w:bCs w:val="1"/>
                <w:color w:val="auto"/>
              </w:rPr>
              <w:t>Lyell Immunopharma, Inc.</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Date: August 12, 2021</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Elizabeth Homans</w:t>
            </w:r>
          </w:p>
        </w:tc>
      </w:tr>
      <w:tr>
        <w:trPr>
          <w:trHeight w:val="227"/>
        </w:trPr>
        <w:tc>
          <w:tcPr>
            <w:tcW w:w="37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9"/>
              </w:rPr>
              <w:t>Elizabeth Homans</w:t>
            </w:r>
          </w:p>
        </w:tc>
      </w:tr>
      <w:tr>
        <w:trPr>
          <w:trHeight w:val="229"/>
        </w:trPr>
        <w:tc>
          <w:tcPr>
            <w:tcW w:w="37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rPr>
              <w:t>Chief Executive Officer</w:t>
            </w:r>
          </w:p>
        </w:tc>
      </w:tr>
      <w:tr>
        <w:trPr>
          <w:trHeight w:val="239"/>
        </w:trPr>
        <w:tc>
          <w:tcPr>
            <w:tcW w:w="3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486"/>
        </w:trPr>
        <w:tc>
          <w:tcPr>
            <w:tcW w:w="3740" w:type="dxa"/>
            <w:vAlign w:val="bottom"/>
          </w:tcPr>
          <w:p>
            <w:pPr>
              <w:spacing w:after="0"/>
              <w:rPr>
                <w:sz w:val="20"/>
                <w:szCs w:val="20"/>
                <w:color w:val="auto"/>
              </w:rPr>
            </w:pPr>
            <w:r>
              <w:rPr>
                <w:rFonts w:ascii="Arial" w:cs="Arial" w:eastAsia="Arial" w:hAnsi="Arial"/>
                <w:sz w:val="18"/>
                <w:szCs w:val="18"/>
                <w:color w:val="auto"/>
              </w:rPr>
              <w:t>Date: August 12, 2021</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Charles Newton</w:t>
            </w:r>
          </w:p>
        </w:tc>
      </w:tr>
      <w:tr>
        <w:trPr>
          <w:trHeight w:val="227"/>
        </w:trPr>
        <w:tc>
          <w:tcPr>
            <w:tcW w:w="37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9"/>
              </w:rPr>
              <w:t>Charles Newton</w:t>
            </w:r>
          </w:p>
        </w:tc>
      </w:tr>
      <w:tr>
        <w:trPr>
          <w:trHeight w:val="239"/>
        </w:trPr>
        <w:tc>
          <w:tcPr>
            <w:tcW w:w="3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9"/>
              </w:rPr>
              <w:t>Chief Financial Officer</w:t>
            </w:r>
          </w:p>
        </w:tc>
      </w:tr>
    </w:tbl>
    <w:p>
      <w:pPr>
        <w:ind w:left="67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Elizabeth Homans, certify that:</w:t>
      </w:r>
    </w:p>
    <w:p>
      <w:pPr>
        <w:spacing w:after="0" w:line="239"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Form 10-Q of Lyell Immunopharma, Inc.;</w:t>
      </w:r>
    </w:p>
    <w:p>
      <w:pPr>
        <w:spacing w:after="0" w:line="238" w:lineRule="exact"/>
        <w:rPr>
          <w:rFonts w:ascii="Arial" w:cs="Arial" w:eastAsia="Arial" w:hAnsi="Arial"/>
          <w:sz w:val="18"/>
          <w:szCs w:val="18"/>
          <w:color w:val="auto"/>
        </w:rPr>
      </w:pPr>
    </w:p>
    <w:p>
      <w:pPr>
        <w:ind w:left="440" w:hanging="432"/>
        <w:spacing w:after="0" w:line="271"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18"/>
          <w:szCs w:val="18"/>
          <w:color w:val="auto"/>
        </w:rPr>
      </w:pPr>
    </w:p>
    <w:p>
      <w:pPr>
        <w:ind w:left="440" w:right="40" w:hanging="432"/>
        <w:spacing w:after="0" w:line="27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440" w:right="120" w:hanging="432"/>
        <w:spacing w:after="0" w:line="27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960" w:hanging="443"/>
        <w:spacing w:after="0" w:line="271" w:lineRule="auto"/>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8"/>
          <w:szCs w:val="18"/>
          <w:color w:val="auto"/>
        </w:rPr>
      </w:pPr>
    </w:p>
    <w:p>
      <w:pPr>
        <w:jc w:val="both"/>
        <w:ind w:left="960" w:right="280" w:hanging="443"/>
        <w:spacing w:after="0" w:line="271" w:lineRule="auto"/>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8"/>
          <w:szCs w:val="18"/>
          <w:color w:val="auto"/>
        </w:rPr>
      </w:pPr>
    </w:p>
    <w:p>
      <w:pPr>
        <w:ind w:left="960" w:right="100" w:hanging="443"/>
        <w:spacing w:after="0" w:line="271" w:lineRule="auto"/>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ind w:left="440" w:right="40" w:hanging="432"/>
        <w:spacing w:after="0" w:line="271"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Arial" w:cs="Arial" w:eastAsia="Arial" w:hAnsi="Arial"/>
          <w:sz w:val="18"/>
          <w:szCs w:val="18"/>
          <w:color w:val="auto"/>
        </w:rPr>
      </w:pPr>
    </w:p>
    <w:p>
      <w:pPr>
        <w:ind w:left="960" w:right="20" w:hanging="443"/>
        <w:spacing w:after="0" w:line="308" w:lineRule="auto"/>
        <w:tabs>
          <w:tab w:leader="none" w:pos="9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60" w:right="200" w:hanging="443"/>
        <w:spacing w:after="0" w:line="277" w:lineRule="auto"/>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Elizabeth Homans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6350</wp:posOffset>
            </wp:positionV>
            <wp:extent cx="33089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7860"/>
        <w:spacing w:after="0"/>
        <w:rPr>
          <w:sz w:val="20"/>
          <w:szCs w:val="20"/>
          <w:color w:val="auto"/>
        </w:rPr>
      </w:pPr>
      <w:r>
        <w:rPr>
          <w:rFonts w:ascii="Arial" w:cs="Arial" w:eastAsia="Arial" w:hAnsi="Arial"/>
          <w:sz w:val="18"/>
          <w:szCs w:val="18"/>
          <w:b w:val="1"/>
          <w:bCs w:val="1"/>
          <w:color w:val="auto"/>
        </w:rPr>
        <w:t>Elizabeth Homans</w:t>
      </w:r>
    </w:p>
    <w:p>
      <w:pPr>
        <w:spacing w:after="0" w:line="36"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Chief Executive Officer</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Charles Newton, certify that:</w:t>
      </w:r>
    </w:p>
    <w:p>
      <w:pPr>
        <w:spacing w:after="0" w:line="239"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Form 10-Q of Lyell Immunopharma, Inc.;</w:t>
      </w:r>
    </w:p>
    <w:p>
      <w:pPr>
        <w:spacing w:after="0" w:line="238" w:lineRule="exact"/>
        <w:rPr>
          <w:rFonts w:ascii="Arial" w:cs="Arial" w:eastAsia="Arial" w:hAnsi="Arial"/>
          <w:sz w:val="18"/>
          <w:szCs w:val="18"/>
          <w:color w:val="auto"/>
        </w:rPr>
      </w:pPr>
    </w:p>
    <w:p>
      <w:pPr>
        <w:ind w:left="440" w:hanging="432"/>
        <w:spacing w:after="0" w:line="271"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18"/>
          <w:szCs w:val="18"/>
          <w:color w:val="auto"/>
        </w:rPr>
      </w:pPr>
    </w:p>
    <w:p>
      <w:pPr>
        <w:ind w:left="440" w:right="40" w:hanging="432"/>
        <w:spacing w:after="0" w:line="277"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440" w:right="120" w:hanging="432"/>
        <w:spacing w:after="0" w:line="277"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960" w:hanging="443"/>
        <w:spacing w:after="0" w:line="271" w:lineRule="auto"/>
        <w:tabs>
          <w:tab w:leader="none" w:pos="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8"/>
          <w:szCs w:val="18"/>
          <w:color w:val="auto"/>
        </w:rPr>
      </w:pPr>
    </w:p>
    <w:p>
      <w:pPr>
        <w:jc w:val="both"/>
        <w:ind w:left="960" w:right="280" w:hanging="443"/>
        <w:spacing w:after="0" w:line="271" w:lineRule="auto"/>
        <w:tabs>
          <w:tab w:leader="none" w:pos="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8"/>
          <w:szCs w:val="18"/>
          <w:color w:val="auto"/>
        </w:rPr>
      </w:pPr>
    </w:p>
    <w:p>
      <w:pPr>
        <w:ind w:left="960" w:right="100" w:hanging="443"/>
        <w:spacing w:after="0" w:line="271" w:lineRule="auto"/>
        <w:tabs>
          <w:tab w:leader="none" w:pos="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ind w:left="440" w:right="40" w:hanging="432"/>
        <w:spacing w:after="0" w:line="271"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Arial" w:cs="Arial" w:eastAsia="Arial" w:hAnsi="Arial"/>
          <w:sz w:val="18"/>
          <w:szCs w:val="18"/>
          <w:color w:val="auto"/>
        </w:rPr>
      </w:pPr>
    </w:p>
    <w:p>
      <w:pPr>
        <w:ind w:left="960" w:right="20" w:hanging="443"/>
        <w:spacing w:after="0" w:line="308" w:lineRule="auto"/>
        <w:tabs>
          <w:tab w:leader="none" w:pos="9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60" w:right="200" w:hanging="443"/>
        <w:spacing w:after="0" w:line="277" w:lineRule="auto"/>
        <w:tabs>
          <w:tab w:leader="none" w:pos="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Newton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6350</wp:posOffset>
            </wp:positionV>
            <wp:extent cx="330898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7960"/>
        <w:spacing w:after="0"/>
        <w:rPr>
          <w:sz w:val="20"/>
          <w:szCs w:val="20"/>
          <w:color w:val="auto"/>
        </w:rPr>
      </w:pPr>
      <w:r>
        <w:rPr>
          <w:rFonts w:ascii="Arial" w:cs="Arial" w:eastAsia="Arial" w:hAnsi="Arial"/>
          <w:sz w:val="18"/>
          <w:szCs w:val="18"/>
          <w:b w:val="1"/>
          <w:bCs w:val="1"/>
          <w:color w:val="auto"/>
        </w:rPr>
        <w:t>Charles Newton</w:t>
      </w:r>
    </w:p>
    <w:p>
      <w:pPr>
        <w:spacing w:after="0" w:line="36"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2"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1"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In connection with the Quarterly Report of Lyell Immunopharma, Inc. (the “Company”) on Form 10-Q for the period ending June 30, 2021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960" w:hanging="443"/>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100" w:hanging="443"/>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65"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Elizabeth Homans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6350</wp:posOffset>
            </wp:positionV>
            <wp:extent cx="330898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8"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Elizabeth Homans</w:t>
      </w:r>
    </w:p>
    <w:p>
      <w:pPr>
        <w:spacing w:after="0" w:line="50"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Chief Executive Officer</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2"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1"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In connection with the Quarterly Report of Lyell Immunopharma, Inc. (the “Company”) on Form 10-Q for the period ending June 30, 2021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960" w:hanging="443"/>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100" w:hanging="443"/>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51"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Newton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6350</wp:posOffset>
            </wp:positionV>
            <wp:extent cx="330898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960"/>
        <w:spacing w:after="0"/>
        <w:rPr>
          <w:sz w:val="20"/>
          <w:szCs w:val="20"/>
          <w:color w:val="auto"/>
        </w:rPr>
      </w:pPr>
      <w:r>
        <w:rPr>
          <w:rFonts w:ascii="Arial" w:cs="Arial" w:eastAsia="Arial" w:hAnsi="Arial"/>
          <w:sz w:val="18"/>
          <w:szCs w:val="18"/>
          <w:b w:val="1"/>
          <w:bCs w:val="1"/>
          <w:color w:val="auto"/>
        </w:rPr>
        <w:t>Charles Newton</w:t>
      </w:r>
    </w:p>
    <w:p>
      <w:pPr>
        <w:spacing w:after="0" w:line="36"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lowerRoman"/>
      <w:start w:val="4"/>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lowerRoman"/>
      <w:start w:val="1"/>
    </w:lvl>
  </w:abstractNum>
  <w:abstractNum w:abstractNumId="14">
    <w:nsid w:val="2901D82"/>
    <w:multiLevelType w:val="hybridMultilevel"/>
    <w:lvl w:ilvl="0">
      <w:lvlJc w:val="left"/>
      <w:lvlText w:val="(%1)"/>
      <w:numFmt w:val="lowerRoman"/>
      <w:start w:val="4"/>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lvl w:ilvl="1">
      <w:lvlJc w:val="left"/>
      <w:lvlText w:val="%2"/>
      <w:numFmt w:val="decimal"/>
      <w:start w:val="104"/>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81" Type="http://schemas.openxmlformats.org/officeDocument/2006/relationships/hyperlink" Target="https://www.sec.gov/Archives/edgar/data/1806952/000119312521195237/d136326dex41.htm" TargetMode="External"/><Relationship Id="rId282" Type="http://schemas.openxmlformats.org/officeDocument/2006/relationships/hyperlink" Target="https://www.sec.gov/Archives/edgar/data/1806952/000119312521195237/d136326dex42.htm" TargetMode="External"/><Relationship Id="rId283" Type="http://schemas.openxmlformats.org/officeDocument/2006/relationships/hyperlink" Target="https://www.sec.gov/Archives/edgar/data/1806952/000119312521185918/d16816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2021-08-12T16:32:25Z</dcterms:created>
  <dcterms:modified xsi:type="dcterms:W3CDTF">2021-08-12T16:32:25Z</dcterms:modified>
</cp:coreProperties>
</file>