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Innovative Cellular Therapeutics Holdings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 ELGIN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GEORGE TOWN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969"/>
        <w:gridCol w:w="449"/>
        <w:gridCol w:w="612"/>
        <w:gridCol w:w="131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44,000</w:t>
            </w:r>
            <w:r>
              <w:rPr>
                <w:rFonts w:ascii="Times;serif" w:hAnsi="Times;serif"/>
                <w:color w:val="008000"/>
                <w:position w:val="7"/>
                <w:sz w:val="16"/>
                <w:sz w:val="20"/>
                <w:shd w:fill="FFFFFF" w:val="clear"/>
              </w:rPr>
              <w:t>(1)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2,774,980</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transferred by the Reporting Person to Wuxiong, Inc. as broker commission in connection with the first Development Milestone payment (as defined in Section 6.2(a) of the License Agreement, dated November 6, 2025, between the Issuer and the Reporting Person). The transaction was a transfer of securities for no cash consideration to the Reporting Person and is reported under transaction code J.</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2,818,980 shares of Common Stock beneficially owned by the Reporting Person immediately prior to the reported transaction, less the 44,000 shares transferred.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Innovative Cellular Therapeutics Holdings Limited By: /s/ Lei Xiao Name: Lei Xiao Title: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5697"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3685</Characters>
  <CharactersWithSpaces>4285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