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11.xml.htm"/>
      <w:bookmarkStart w:id="1" w:name="ksform408112026_080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Stephen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14.34</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automatically sold to cover tax withholding obligation from settlement of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reflects the weighted average price of the shares sold. The sale price ranged from $14.27 to $14.34 per share. Upon request from the SEC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154"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3509</Characters>
  <CharactersWithSpaces>4089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