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609600</wp:posOffset>
            </wp:positionH>
            <wp:positionV relativeFrom="paragraph">
              <wp:posOffset>418465</wp:posOffset>
            </wp:positionV>
            <wp:extent cx="65913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1300" cy="8255"/>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443865</wp:posOffset>
            </wp:positionV>
            <wp:extent cx="65913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13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9"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1"/>
          <w:szCs w:val="11"/>
          <w:color w:val="auto"/>
        </w:rPr>
        <w:t>_________________________________</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48"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1"/>
          <w:szCs w:val="11"/>
          <w:color w:val="auto"/>
        </w:rPr>
        <w:t>_________________________________</w:t>
      </w: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8" w:lineRule="exact"/>
        <w:rPr>
          <w:sz w:val="24"/>
          <w:szCs w:val="24"/>
          <w:color w:val="auto"/>
        </w:rPr>
      </w:pPr>
    </w:p>
    <w:p>
      <w:pPr>
        <w:ind w:left="580" w:hanging="556"/>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43" w:lineRule="exact"/>
        <w:rPr>
          <w:sz w:val="24"/>
          <w:szCs w:val="24"/>
          <w:color w:val="auto"/>
        </w:rPr>
      </w:pPr>
    </w:p>
    <w:p>
      <w:pPr>
        <w:ind w:right="1680" w:firstLine="24"/>
        <w:spacing w:after="0" w:line="376" w:lineRule="auto"/>
        <w:tabs>
          <w:tab w:leader="none" w:pos="574"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001-40502</w:t>
      </w:r>
    </w:p>
    <w:p>
      <w:pPr>
        <w:spacing w:after="0" w:line="118"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1"/>
          <w:szCs w:val="11"/>
          <w:color w:val="auto"/>
        </w:rPr>
        <w:t>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2940050</wp:posOffset>
            </wp:positionH>
            <wp:positionV relativeFrom="paragraph">
              <wp:posOffset>71120</wp:posOffset>
            </wp:positionV>
            <wp:extent cx="1261745" cy="942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1745" cy="9423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Lyell Immunopharma, Inc.</w:t>
      </w:r>
    </w:p>
    <w:p>
      <w:pPr>
        <w:spacing w:after="0" w:line="48"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1"/>
          <w:szCs w:val="11"/>
          <w:color w:val="auto"/>
        </w:rPr>
        <w:t>_________________________________</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4340" w:type="dxa"/>
            <w:vAlign w:val="bottom"/>
            <w:gridSpan w:val="2"/>
          </w:tcPr>
          <w:p>
            <w:pPr>
              <w:jc w:val="center"/>
              <w:ind w:left="125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60" w:type="dxa"/>
            <w:vAlign w:val="bottom"/>
          </w:tcPr>
          <w:p>
            <w:pPr>
              <w:jc w:val="right"/>
              <w:ind w:right="2152"/>
              <w:spacing w:after="0"/>
              <w:rPr>
                <w:sz w:val="20"/>
                <w:szCs w:val="20"/>
                <w:color w:val="auto"/>
              </w:rPr>
            </w:pPr>
            <w:r>
              <w:rPr>
                <w:rFonts w:ascii="Times New Roman" w:cs="Times New Roman" w:eastAsia="Times New Roman" w:hAnsi="Times New Roman"/>
                <w:sz w:val="18"/>
                <w:szCs w:val="18"/>
                <w:b w:val="1"/>
                <w:bCs w:val="1"/>
                <w:color w:val="auto"/>
              </w:rPr>
              <w:t>83-1300510</w:t>
            </w:r>
          </w:p>
        </w:tc>
      </w:tr>
      <w:tr>
        <w:trPr>
          <w:trHeight w:val="252"/>
        </w:trPr>
        <w:tc>
          <w:tcPr>
            <w:tcW w:w="646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4660" w:type="dxa"/>
            <w:vAlign w:val="bottom"/>
          </w:tcPr>
          <w:p>
            <w:pPr>
              <w:jc w:val="center"/>
              <w:ind w:right="572"/>
              <w:spacing w:after="0"/>
              <w:rPr>
                <w:sz w:val="20"/>
                <w:szCs w:val="20"/>
                <w:color w:val="auto"/>
              </w:rPr>
            </w:pPr>
            <w:r>
              <w:rPr>
                <w:rFonts w:ascii="Times New Roman" w:cs="Times New Roman" w:eastAsia="Times New Roman" w:hAnsi="Times New Roman"/>
                <w:sz w:val="18"/>
                <w:szCs w:val="18"/>
                <w:color w:val="auto"/>
                <w:w w:val="97"/>
              </w:rPr>
              <w:t>(I.R.S. Employer Identification No.)</w:t>
            </w:r>
          </w:p>
        </w:tc>
      </w:tr>
      <w:tr>
        <w:trPr>
          <w:trHeight w:val="252"/>
        </w:trPr>
        <w:tc>
          <w:tcPr>
            <w:tcW w:w="4340" w:type="dxa"/>
            <w:vAlign w:val="bottom"/>
            <w:gridSpan w:val="2"/>
          </w:tcPr>
          <w:p>
            <w:pPr>
              <w:jc w:val="center"/>
              <w:ind w:left="1232"/>
              <w:spacing w:after="0"/>
              <w:rPr>
                <w:sz w:val="20"/>
                <w:szCs w:val="20"/>
                <w:color w:val="auto"/>
              </w:rPr>
            </w:pPr>
            <w:r>
              <w:rPr>
                <w:rFonts w:ascii="Times New Roman" w:cs="Times New Roman" w:eastAsia="Times New Roman" w:hAnsi="Times New Roman"/>
                <w:sz w:val="18"/>
                <w:szCs w:val="18"/>
                <w:b w:val="1"/>
                <w:bCs w:val="1"/>
                <w:color w:val="auto"/>
                <w:w w:val="96"/>
              </w:rPr>
              <w:t>201 Haskins Way</w:t>
            </w: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52"/>
        </w:trPr>
        <w:tc>
          <w:tcPr>
            <w:tcW w:w="4340" w:type="dxa"/>
            <w:vAlign w:val="bottom"/>
            <w:gridSpan w:val="2"/>
          </w:tcPr>
          <w:p>
            <w:pPr>
              <w:jc w:val="center"/>
              <w:ind w:left="1232"/>
              <w:spacing w:after="0"/>
              <w:rPr>
                <w:sz w:val="20"/>
                <w:szCs w:val="20"/>
                <w:color w:val="auto"/>
              </w:rPr>
            </w:pPr>
            <w:r>
              <w:rPr>
                <w:rFonts w:ascii="Times New Roman" w:cs="Times New Roman" w:eastAsia="Times New Roman" w:hAnsi="Times New Roman"/>
                <w:sz w:val="18"/>
                <w:szCs w:val="18"/>
                <w:b w:val="1"/>
                <w:bCs w:val="1"/>
                <w:color w:val="auto"/>
                <w:w w:val="98"/>
              </w:rPr>
              <w:t>South San Francisco, California</w:t>
            </w: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60" w:type="dxa"/>
            <w:vAlign w:val="bottom"/>
          </w:tcPr>
          <w:p>
            <w:pPr>
              <w:jc w:val="right"/>
              <w:ind w:right="2352"/>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52"/>
        </w:trPr>
        <w:tc>
          <w:tcPr>
            <w:tcW w:w="4340" w:type="dxa"/>
            <w:vAlign w:val="bottom"/>
            <w:gridSpan w:val="2"/>
          </w:tcPr>
          <w:p>
            <w:pPr>
              <w:jc w:val="center"/>
              <w:ind w:left="125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60" w:type="dxa"/>
            <w:vAlign w:val="bottom"/>
          </w:tcPr>
          <w:p>
            <w:pPr>
              <w:jc w:val="center"/>
              <w:ind w:right="592"/>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37"/>
        </w:trPr>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jc w:val="center"/>
              <w:ind w:left="472"/>
              <w:spacing w:after="0"/>
              <w:rPr>
                <w:sz w:val="20"/>
                <w:szCs w:val="20"/>
                <w:color w:val="auto"/>
              </w:rPr>
            </w:pPr>
            <w:r>
              <w:rPr>
                <w:rFonts w:ascii="Times New Roman" w:cs="Times New Roman" w:eastAsia="Times New Roman" w:hAnsi="Times New Roman"/>
                <w:sz w:val="18"/>
                <w:szCs w:val="18"/>
                <w:b w:val="1"/>
                <w:bCs w:val="1"/>
                <w:color w:val="auto"/>
                <w:w w:val="97"/>
              </w:rPr>
              <w:t>(650) 695-0677</w:t>
            </w:r>
          </w:p>
        </w:tc>
        <w:tc>
          <w:tcPr>
            <w:tcW w:w="10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318"/>
        </w:trPr>
        <w:tc>
          <w:tcPr>
            <w:tcW w:w="11120" w:type="dxa"/>
            <w:vAlign w:val="bottom"/>
            <w:gridSpan w:val="5"/>
          </w:tcPr>
          <w:p>
            <w:pPr>
              <w:jc w:val="center"/>
              <w:ind w:left="52"/>
              <w:spacing w:after="0"/>
              <w:rPr>
                <w:sz w:val="20"/>
                <w:szCs w:val="20"/>
                <w:color w:val="auto"/>
              </w:rPr>
            </w:pPr>
            <w:r>
              <w:rPr>
                <w:rFonts w:ascii="Times New Roman" w:cs="Times New Roman" w:eastAsia="Times New Roman" w:hAnsi="Times New Roman"/>
                <w:sz w:val="18"/>
                <w:szCs w:val="18"/>
                <w:color w:val="auto"/>
                <w:w w:val="97"/>
              </w:rPr>
              <w:t>Registrant’s telephone number, including area code</w:t>
            </w:r>
          </w:p>
        </w:tc>
      </w:tr>
      <w:tr>
        <w:trPr>
          <w:trHeight w:val="318"/>
        </w:trPr>
        <w:tc>
          <w:tcPr>
            <w:tcW w:w="11120" w:type="dxa"/>
            <w:vAlign w:val="bottom"/>
            <w:gridSpan w:val="5"/>
          </w:tcPr>
          <w:p>
            <w:pPr>
              <w:jc w:val="center"/>
              <w:ind w:left="32"/>
              <w:spacing w:after="0"/>
              <w:rPr>
                <w:sz w:val="20"/>
                <w:szCs w:val="20"/>
                <w:color w:val="auto"/>
              </w:rPr>
            </w:pPr>
            <w:r>
              <w:rPr>
                <w:rFonts w:ascii="Times New Roman" w:cs="Times New Roman" w:eastAsia="Times New Roman" w:hAnsi="Times New Roman"/>
                <w:sz w:val="18"/>
                <w:szCs w:val="18"/>
                <w:color w:val="auto"/>
                <w:w w:val="98"/>
              </w:rPr>
              <w:t>Securities registered pursuant to Section 12(b) of the Act:</w:t>
            </w:r>
          </w:p>
        </w:tc>
      </w:tr>
      <w:tr>
        <w:trPr>
          <w:trHeight w:val="371"/>
        </w:trPr>
        <w:tc>
          <w:tcPr>
            <w:tcW w:w="4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Name of each exchange on which registered</w:t>
            </w:r>
          </w:p>
        </w:tc>
      </w:tr>
      <w:tr>
        <w:trPr>
          <w:trHeight w:val="25"/>
        </w:trPr>
        <w:tc>
          <w:tcPr>
            <w:tcW w:w="4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25"/>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Common Stock, $0.0001 par value per share</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LYEL</w:t>
            </w:r>
          </w:p>
        </w:tc>
        <w:tc>
          <w:tcPr>
            <w:tcW w:w="100" w:type="dxa"/>
            <w:vAlign w:val="bottom"/>
          </w:tcPr>
          <w:p>
            <w:pPr>
              <w:spacing w:after="0"/>
              <w:rPr>
                <w:sz w:val="19"/>
                <w:szCs w:val="19"/>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Nasdaq Global Select Market</w:t>
            </w:r>
          </w:p>
        </w:tc>
      </w:tr>
    </w:tbl>
    <w:p>
      <w:pPr>
        <w:spacing w:after="0" w:line="201"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11" w:lineRule="exact"/>
        <w:rPr>
          <w:sz w:val="24"/>
          <w:szCs w:val="24"/>
          <w:color w:val="auto"/>
        </w:rPr>
      </w:pPr>
    </w:p>
    <w:p>
      <w:pPr>
        <w:ind w:right="460"/>
        <w:spacing w:after="0" w:line="259"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72" w:lineRule="exact"/>
        <w:rPr>
          <w:sz w:val="24"/>
          <w:szCs w:val="24"/>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files).Yes </w:t>
      </w: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No</w:t>
      </w:r>
      <w:r>
        <w:rPr>
          <w:rFonts w:ascii="Wingdings" w:cs="Wingdings" w:eastAsia="Wingdings" w:hAnsi="Wingdings"/>
          <w:sz w:val="18"/>
          <w:szCs w:val="18"/>
          <w:b w:val="1"/>
          <w:bCs w:val="1"/>
          <w:color w:val="auto"/>
        </w:rPr>
        <w:t xml:space="preserve"> o</w:t>
      </w:r>
    </w:p>
    <w:p>
      <w:pPr>
        <w:spacing w:after="0" w:line="72"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231"/>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540" w:type="dxa"/>
            <w:vAlign w:val="bottom"/>
          </w:tcPr>
          <w:p>
            <w:pPr>
              <w:ind w:left="760"/>
              <w:spacing w:after="0"/>
              <w:rPr>
                <w:sz w:val="20"/>
                <w:szCs w:val="20"/>
                <w:color w:val="auto"/>
              </w:rPr>
            </w:pPr>
            <w:r>
              <w:rPr>
                <w:rFonts w:ascii="Wingdings" w:cs="Wingdings" w:eastAsia="Wingdings" w:hAnsi="Wingdings"/>
                <w:sz w:val="18"/>
                <w:szCs w:val="18"/>
                <w:b w:val="1"/>
                <w:bCs w:val="1"/>
                <w:color w:val="auto"/>
              </w:rPr>
              <w:t>x</w:t>
            </w:r>
          </w:p>
        </w:tc>
        <w:tc>
          <w:tcPr>
            <w:tcW w:w="43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Accelerated filer</w:t>
            </w:r>
          </w:p>
        </w:tc>
        <w:tc>
          <w:tcPr>
            <w:tcW w:w="1000" w:type="dxa"/>
            <w:vAlign w:val="bottom"/>
          </w:tcPr>
          <w:p>
            <w:pPr>
              <w:ind w:left="840"/>
              <w:spacing w:after="0"/>
              <w:rPr>
                <w:sz w:val="20"/>
                <w:szCs w:val="20"/>
                <w:color w:val="auto"/>
              </w:rPr>
            </w:pPr>
            <w:r>
              <w:rPr>
                <w:rFonts w:ascii="Wingdings" w:cs="Wingdings" w:eastAsia="Wingdings" w:hAnsi="Wingdings"/>
                <w:sz w:val="18"/>
                <w:szCs w:val="18"/>
                <w:b w:val="1"/>
                <w:bCs w:val="1"/>
                <w:color w:val="auto"/>
                <w:w w:val="86"/>
              </w:rPr>
              <w:t>o</w:t>
            </w:r>
          </w:p>
        </w:tc>
      </w:tr>
      <w:tr>
        <w:trPr>
          <w:trHeight w:val="252"/>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540" w:type="dxa"/>
            <w:vAlign w:val="bottom"/>
          </w:tcPr>
          <w:p>
            <w:pPr>
              <w:ind w:left="760"/>
              <w:spacing w:after="0"/>
              <w:rPr>
                <w:sz w:val="20"/>
                <w:szCs w:val="20"/>
                <w:color w:val="auto"/>
              </w:rPr>
            </w:pPr>
            <w:r>
              <w:rPr>
                <w:rFonts w:ascii="Wingdings" w:cs="Wingdings" w:eastAsia="Wingdings" w:hAnsi="Wingdings"/>
                <w:sz w:val="18"/>
                <w:szCs w:val="18"/>
                <w:b w:val="1"/>
                <w:bCs w:val="1"/>
                <w:color w:val="auto"/>
              </w:rPr>
              <w:t>o</w:t>
            </w:r>
          </w:p>
        </w:tc>
        <w:tc>
          <w:tcPr>
            <w:tcW w:w="43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00" w:type="dxa"/>
            <w:vAlign w:val="bottom"/>
          </w:tcPr>
          <w:p>
            <w:pPr>
              <w:ind w:left="840"/>
              <w:spacing w:after="0"/>
              <w:rPr>
                <w:sz w:val="20"/>
                <w:szCs w:val="20"/>
                <w:color w:val="auto"/>
              </w:rPr>
            </w:pPr>
            <w:r>
              <w:rPr>
                <w:rFonts w:ascii="Wingdings" w:cs="Wingdings" w:eastAsia="Wingdings" w:hAnsi="Wingdings"/>
                <w:sz w:val="18"/>
                <w:szCs w:val="18"/>
                <w:b w:val="1"/>
                <w:bCs w:val="1"/>
                <w:color w:val="auto"/>
                <w:w w:val="86"/>
              </w:rPr>
              <w:t>o</w:t>
            </w:r>
          </w:p>
        </w:tc>
      </w:tr>
      <w:tr>
        <w:trPr>
          <w:trHeight w:val="252"/>
        </w:trPr>
        <w:tc>
          <w:tcPr>
            <w:tcW w:w="23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43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00" w:type="dxa"/>
            <w:vAlign w:val="bottom"/>
          </w:tcPr>
          <w:p>
            <w:pPr>
              <w:ind w:left="840"/>
              <w:spacing w:after="0"/>
              <w:rPr>
                <w:sz w:val="20"/>
                <w:szCs w:val="20"/>
                <w:color w:val="auto"/>
              </w:rPr>
            </w:pPr>
            <w:r>
              <w:rPr>
                <w:rFonts w:ascii="Wingdings" w:cs="Wingdings" w:eastAsia="Wingdings" w:hAnsi="Wingdings"/>
                <w:sz w:val="18"/>
                <w:szCs w:val="18"/>
                <w:b w:val="1"/>
                <w:bCs w:val="1"/>
                <w:color w:val="auto"/>
                <w:w w:val="86"/>
              </w:rPr>
              <w:t>o</w:t>
            </w:r>
          </w:p>
        </w:tc>
      </w:tr>
    </w:tbl>
    <w:p>
      <w:pPr>
        <w:spacing w:after="0" w:line="193" w:lineRule="exact"/>
        <w:rPr>
          <w:sz w:val="24"/>
          <w:szCs w:val="24"/>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57" w:lineRule="exact"/>
        <w:rPr>
          <w:sz w:val="24"/>
          <w:szCs w:val="24"/>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8"/>
          <w:szCs w:val="18"/>
          <w:b w:val="1"/>
          <w:bCs w:val="1"/>
          <w:color w:val="auto"/>
        </w:rPr>
        <w:t>x</w:t>
      </w:r>
    </w:p>
    <w:p>
      <w:pPr>
        <w:sectPr>
          <w:pgSz w:w="11900" w:h="16878" w:orient="portrait"/>
          <w:cols w:equalWidth="0" w:num="1">
            <w:col w:w="11240"/>
          </w:cols>
          <w:pgMar w:left="320" w:top="227" w:right="339" w:bottom="0" w:gutter="0" w:footer="0" w:header="0"/>
        </w:sectPr>
      </w:pPr>
    </w:p>
    <w:bookmarkStart w:id="1" w:name="page2"/>
    <w:bookmarkEnd w:id="1"/>
    <w:p>
      <w:pPr>
        <w:spacing w:after="0" w:line="274"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5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11" w:lineRule="exact"/>
        <w:rPr>
          <w:sz w:val="20"/>
          <w:szCs w:val="20"/>
          <w:color w:val="auto"/>
        </w:rPr>
      </w:pPr>
    </w:p>
    <w:p>
      <w:pPr>
        <w:jc w:val="both"/>
        <w:ind w:right="500"/>
        <w:spacing w:after="0" w:line="259" w:lineRule="auto"/>
        <w:rPr>
          <w:sz w:val="20"/>
          <w:szCs w:val="20"/>
          <w:color w:val="auto"/>
        </w:rPr>
      </w:pPr>
      <w:r>
        <w:rPr>
          <w:rFonts w:ascii="Times New Roman" w:cs="Times New Roman" w:eastAsia="Times New Roman" w:hAnsi="Times New Roman"/>
          <w:sz w:val="18"/>
          <w:szCs w:val="18"/>
          <w:color w:val="auto"/>
        </w:rPr>
        <w:t>The aggregate market value of the common stock held by non-affiliates of the registrant on June 30, 2022, the last business day of the registrant’s most recently completed second fiscal quarter, was approximately $1.1 billion based on the closing price reported for such date on the Nasdaq Global Select Market.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outstanding 249,609,247 shares of common stock as of February 24, 2023.</w:t>
      </w:r>
    </w:p>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6" w:lineRule="exact"/>
        <w:rPr>
          <w:sz w:val="20"/>
          <w:szCs w:val="20"/>
          <w:color w:val="auto"/>
        </w:rPr>
      </w:pPr>
    </w:p>
    <w:p>
      <w:pPr>
        <w:ind w:right="280"/>
        <w:spacing w:after="0" w:line="248" w:lineRule="auto"/>
        <w:rPr>
          <w:sz w:val="20"/>
          <w:szCs w:val="20"/>
          <w:color w:val="auto"/>
        </w:rPr>
      </w:pPr>
      <w:r>
        <w:rPr>
          <w:rFonts w:ascii="Times New Roman" w:cs="Times New Roman" w:eastAsia="Times New Roman" w:hAnsi="Times New Roman"/>
          <w:sz w:val="18"/>
          <w:szCs w:val="18"/>
          <w:color w:val="auto"/>
        </w:rPr>
        <w:t>Portions of the registrant’s Proxy Statement for the 2023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681355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29210</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54610</wp:posOffset>
            </wp:positionV>
            <wp:extent cx="7134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5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48"/>
        </w:trPr>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20" w:type="dxa"/>
            <w:vAlign w:val="bottom"/>
            <w:gridSpan w:val="17"/>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7"/>
              </w:rPr>
              <w:t>Lyell Immunopharma, Inc.</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2"/>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320" w:type="dxa"/>
            <w:vAlign w:val="bottom"/>
            <w:gridSpan w:val="17"/>
          </w:tcPr>
          <w:p>
            <w:pPr>
              <w:jc w:val="center"/>
              <w:ind w:right="3600"/>
              <w:spacing w:after="0" w:line="192" w:lineRule="exact"/>
              <w:rPr>
                <w:sz w:val="20"/>
                <w:szCs w:val="20"/>
                <w:color w:val="auto"/>
              </w:rPr>
            </w:pPr>
            <w:r>
              <w:rPr>
                <w:rFonts w:ascii="Times New Roman" w:cs="Times New Roman" w:eastAsia="Times New Roman" w:hAnsi="Times New Roman"/>
                <w:sz w:val="18"/>
                <w:szCs w:val="18"/>
                <w:b w:val="1"/>
                <w:bCs w:val="1"/>
                <w:color w:val="auto"/>
                <w:w w:val="97"/>
              </w:rPr>
              <w:t>2022 Annual Report on Form 10-K</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3"/>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320" w:type="dxa"/>
            <w:vAlign w:val="bottom"/>
            <w:gridSpan w:val="17"/>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4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5"/>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10560" w:type="dxa"/>
            <w:vAlign w:val="bottom"/>
            <w:gridSpan w:val="36"/>
          </w:tcPr>
          <w:p>
            <w:pPr>
              <w:spacing w:after="0" w:line="192" w:lineRule="exact"/>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660" w:type="dxa"/>
            <w:vAlign w:val="bottom"/>
            <w:gridSpan w:val="5"/>
          </w:tcPr>
          <w:p>
            <w:pPr>
              <w:jc w:val="right"/>
              <w:ind w:right="20"/>
              <w:spacing w:after="0" w:line="192" w:lineRule="exact"/>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38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Summary of Risk Factors</w:t>
            </w:r>
          </w:p>
        </w:tc>
        <w:tc>
          <w:tcPr>
            <w:tcW w:w="6760" w:type="dxa"/>
            <w:vAlign w:val="bottom"/>
            <w:gridSpan w:val="19"/>
          </w:tcPr>
          <w:p>
            <w:pPr>
              <w:spacing w:after="0"/>
              <w:rPr>
                <w:sz w:val="21"/>
                <w:szCs w:val="21"/>
                <w:color w:val="auto"/>
              </w:rPr>
            </w:pP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r>
      <w:tr>
        <w:trPr>
          <w:trHeight w:val="245"/>
        </w:trPr>
        <w:tc>
          <w:tcPr>
            <w:tcW w:w="20" w:type="dxa"/>
            <w:vAlign w:val="bottom"/>
          </w:tcPr>
          <w:p>
            <w:pPr>
              <w:spacing w:after="0"/>
              <w:rPr>
                <w:sz w:val="21"/>
                <w:szCs w:val="21"/>
                <w:color w:val="auto"/>
              </w:rPr>
            </w:pPr>
          </w:p>
        </w:tc>
        <w:tc>
          <w:tcPr>
            <w:tcW w:w="4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00" w:type="dxa"/>
            <w:vAlign w:val="bottom"/>
            <w:gridSpan w:val="11"/>
          </w:tcPr>
          <w:p>
            <w:pPr>
              <w:jc w:val="center"/>
              <w:ind w:right="452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4660" w:type="dxa"/>
            <w:vAlign w:val="bottom"/>
            <w:gridSpan w:val="21"/>
          </w:tcPr>
          <w:p>
            <w:pPr>
              <w:ind w:left="180"/>
              <w:spacing w:after="0"/>
              <w:rPr>
                <w:sz w:val="20"/>
                <w:szCs w:val="20"/>
                <w:color w:val="auto"/>
              </w:rPr>
            </w:pPr>
            <w:r>
              <w:rPr>
                <w:rFonts w:ascii="Times New Roman" w:cs="Times New Roman" w:eastAsia="Times New Roman" w:hAnsi="Times New Roman"/>
                <w:sz w:val="18"/>
                <w:szCs w:val="18"/>
                <w:color w:val="0000FF"/>
              </w:rPr>
              <w:t>Business</w:t>
            </w:r>
          </w:p>
        </w:tc>
        <w:tc>
          <w:tcPr>
            <w:tcW w:w="580" w:type="dxa"/>
            <w:vAlign w:val="bottom"/>
            <w:tcBorders>
              <w:top w:val="single" w:sz="8" w:color="0000FF"/>
            </w:tcBorders>
            <w:gridSpan w:val="2"/>
          </w:tcPr>
          <w:p>
            <w:pPr>
              <w:spacing w:after="0"/>
              <w:rPr>
                <w:sz w:val="21"/>
                <w:szCs w:val="21"/>
                <w:color w:val="auto"/>
              </w:rPr>
            </w:pPr>
          </w:p>
        </w:tc>
        <w:tc>
          <w:tcPr>
            <w:tcW w:w="4520" w:type="dxa"/>
            <w:vAlign w:val="bottom"/>
            <w:gridSpan w:val="9"/>
          </w:tcPr>
          <w:p>
            <w:pPr>
              <w:spacing w:after="0"/>
              <w:rPr>
                <w:sz w:val="21"/>
                <w:szCs w:val="21"/>
                <w:color w:val="auto"/>
              </w:rPr>
            </w:pP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0"/>
              </w:rPr>
              <w:t>Item 1A.</w:t>
            </w:r>
          </w:p>
        </w:tc>
        <w:tc>
          <w:tcPr>
            <w:tcW w:w="180" w:type="dxa"/>
            <w:vAlign w:val="bottom"/>
          </w:tcPr>
          <w:p>
            <w:pPr>
              <w:spacing w:after="0"/>
              <w:rPr>
                <w:sz w:val="21"/>
                <w:szCs w:val="21"/>
                <w:color w:val="auto"/>
              </w:rPr>
            </w:pPr>
          </w:p>
        </w:tc>
        <w:tc>
          <w:tcPr>
            <w:tcW w:w="9760" w:type="dxa"/>
            <w:vAlign w:val="bottom"/>
            <w:gridSpan w:val="32"/>
          </w:tcPr>
          <w:p>
            <w:pPr>
              <w:ind w:left="180"/>
              <w:spacing w:after="0"/>
              <w:rPr>
                <w:sz w:val="20"/>
                <w:szCs w:val="20"/>
                <w:color w:val="auto"/>
              </w:rPr>
            </w:pPr>
            <w:r>
              <w:rPr>
                <w:rFonts w:ascii="Times New Roman" w:cs="Times New Roman" w:eastAsia="Times New Roman" w:hAnsi="Times New Roman"/>
                <w:sz w:val="18"/>
                <w:szCs w:val="18"/>
                <w:color w:val="0000FF"/>
              </w:rPr>
              <w:t>Risk Factors</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1"/>
              </w:rPr>
              <w:t>Item 1B.</w:t>
            </w:r>
          </w:p>
        </w:tc>
        <w:tc>
          <w:tcPr>
            <w:tcW w:w="180" w:type="dxa"/>
            <w:vAlign w:val="bottom"/>
          </w:tcPr>
          <w:p>
            <w:pPr>
              <w:spacing w:after="0"/>
              <w:rPr>
                <w:sz w:val="21"/>
                <w:szCs w:val="21"/>
                <w:color w:val="auto"/>
              </w:rPr>
            </w:pPr>
          </w:p>
        </w:tc>
        <w:tc>
          <w:tcPr>
            <w:tcW w:w="9760" w:type="dxa"/>
            <w:vAlign w:val="bottom"/>
            <w:gridSpan w:val="32"/>
          </w:tcPr>
          <w:p>
            <w:pPr>
              <w:ind w:left="18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180" w:type="dxa"/>
            <w:vAlign w:val="bottom"/>
          </w:tcPr>
          <w:p>
            <w:pPr>
              <w:spacing w:after="0"/>
              <w:rPr>
                <w:sz w:val="21"/>
                <w:szCs w:val="21"/>
                <w:color w:val="auto"/>
              </w:rPr>
            </w:pPr>
          </w:p>
        </w:tc>
        <w:tc>
          <w:tcPr>
            <w:tcW w:w="9760" w:type="dxa"/>
            <w:vAlign w:val="bottom"/>
            <w:gridSpan w:val="32"/>
          </w:tcPr>
          <w:p>
            <w:pPr>
              <w:ind w:left="180"/>
              <w:spacing w:after="0"/>
              <w:rPr>
                <w:sz w:val="20"/>
                <w:szCs w:val="20"/>
                <w:color w:val="auto"/>
              </w:rPr>
            </w:pPr>
            <w:r>
              <w:rPr>
                <w:rFonts w:ascii="Times New Roman" w:cs="Times New Roman" w:eastAsia="Times New Roman" w:hAnsi="Times New Roman"/>
                <w:sz w:val="18"/>
                <w:szCs w:val="18"/>
                <w:color w:val="0000FF"/>
              </w:rPr>
              <w:t>Properties</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9760" w:type="dxa"/>
            <w:vAlign w:val="bottom"/>
            <w:gridSpan w:val="32"/>
          </w:tcPr>
          <w:p>
            <w:pPr>
              <w:ind w:left="180"/>
              <w:spacing w:after="0"/>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9760" w:type="dxa"/>
            <w:vAlign w:val="bottom"/>
            <w:gridSpan w:val="32"/>
          </w:tcPr>
          <w:p>
            <w:pPr>
              <w:ind w:left="18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46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Borders>
              <w:bottom w:val="single" w:sz="8" w:color="0E32E1"/>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E32E1"/>
                <w:w w:val="94"/>
              </w:rPr>
              <w:t>PART II</w:t>
            </w:r>
          </w:p>
        </w:tc>
        <w:tc>
          <w:tcPr>
            <w:tcW w:w="4480" w:type="dxa"/>
            <w:vAlign w:val="bottom"/>
            <w:gridSpan w:val="8"/>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5.</w:t>
            </w:r>
          </w:p>
        </w:tc>
        <w:tc>
          <w:tcPr>
            <w:tcW w:w="9760" w:type="dxa"/>
            <w:vAlign w:val="bottom"/>
            <w:gridSpan w:val="32"/>
          </w:tcPr>
          <w:p>
            <w:pPr>
              <w:ind w:left="180"/>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71</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9760" w:type="dxa"/>
            <w:vAlign w:val="bottom"/>
            <w:gridSpan w:val="32"/>
          </w:tcPr>
          <w:p>
            <w:pPr>
              <w:ind w:left="180"/>
              <w:spacing w:after="0"/>
              <w:rPr>
                <w:sz w:val="20"/>
                <w:szCs w:val="20"/>
                <w:color w:val="auto"/>
              </w:rPr>
            </w:pPr>
            <w:r>
              <w:rPr>
                <w:rFonts w:ascii="Times New Roman" w:cs="Times New Roman" w:eastAsia="Times New Roman" w:hAnsi="Times New Roman"/>
                <w:sz w:val="18"/>
                <w:szCs w:val="18"/>
                <w:color w:val="0000FF"/>
              </w:rPr>
              <w:t>[Reserved]</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72</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7.</w:t>
            </w:r>
          </w:p>
        </w:tc>
        <w:tc>
          <w:tcPr>
            <w:tcW w:w="9760" w:type="dxa"/>
            <w:vAlign w:val="bottom"/>
            <w:gridSpan w:val="32"/>
          </w:tcPr>
          <w:p>
            <w:pPr>
              <w:ind w:left="18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73</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0"/>
              </w:rPr>
              <w:t>Item 7A.</w:t>
            </w:r>
          </w:p>
        </w:tc>
        <w:tc>
          <w:tcPr>
            <w:tcW w:w="180" w:type="dxa"/>
            <w:vAlign w:val="bottom"/>
          </w:tcPr>
          <w:p>
            <w:pPr>
              <w:spacing w:after="0"/>
              <w:rPr>
                <w:sz w:val="21"/>
                <w:szCs w:val="21"/>
                <w:color w:val="auto"/>
              </w:rPr>
            </w:pPr>
          </w:p>
        </w:tc>
        <w:tc>
          <w:tcPr>
            <w:tcW w:w="9760" w:type="dxa"/>
            <w:vAlign w:val="bottom"/>
            <w:gridSpan w:val="32"/>
          </w:tcPr>
          <w:p>
            <w:pPr>
              <w:ind w:left="18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83</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8</w:t>
            </w:r>
            <w:r>
              <w:rPr>
                <w:rFonts w:ascii="Times New Roman" w:cs="Times New Roman" w:eastAsia="Times New Roman" w:hAnsi="Times New Roman"/>
                <w:sz w:val="18"/>
                <w:szCs w:val="18"/>
                <w:color w:val="000000"/>
              </w:rPr>
              <w:t>.</w:t>
            </w:r>
          </w:p>
        </w:tc>
        <w:tc>
          <w:tcPr>
            <w:tcW w:w="180" w:type="dxa"/>
            <w:vAlign w:val="bottom"/>
          </w:tcPr>
          <w:p>
            <w:pPr>
              <w:spacing w:after="0"/>
              <w:rPr>
                <w:sz w:val="21"/>
                <w:szCs w:val="21"/>
                <w:color w:val="auto"/>
              </w:rPr>
            </w:pPr>
          </w:p>
        </w:tc>
        <w:tc>
          <w:tcPr>
            <w:tcW w:w="9760" w:type="dxa"/>
            <w:vAlign w:val="bottom"/>
            <w:gridSpan w:val="32"/>
          </w:tcPr>
          <w:p>
            <w:pPr>
              <w:ind w:left="18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9.</w:t>
            </w:r>
          </w:p>
        </w:tc>
        <w:tc>
          <w:tcPr>
            <w:tcW w:w="9760" w:type="dxa"/>
            <w:vAlign w:val="bottom"/>
            <w:gridSpan w:val="32"/>
          </w:tcPr>
          <w:p>
            <w:pPr>
              <w:ind w:left="18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115</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0"/>
              </w:rPr>
              <w:t>Item 9A.</w:t>
            </w:r>
          </w:p>
        </w:tc>
        <w:tc>
          <w:tcPr>
            <w:tcW w:w="180" w:type="dxa"/>
            <w:vAlign w:val="bottom"/>
          </w:tcPr>
          <w:p>
            <w:pPr>
              <w:spacing w:after="0"/>
              <w:rPr>
                <w:sz w:val="21"/>
                <w:szCs w:val="21"/>
                <w:color w:val="auto"/>
              </w:rPr>
            </w:pPr>
          </w:p>
        </w:tc>
        <w:tc>
          <w:tcPr>
            <w:tcW w:w="9760" w:type="dxa"/>
            <w:vAlign w:val="bottom"/>
            <w:gridSpan w:val="32"/>
          </w:tcPr>
          <w:p>
            <w:pPr>
              <w:ind w:left="18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115</w:t>
            </w: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1"/>
              </w:rPr>
              <w:t>Item 9B.</w:t>
            </w:r>
          </w:p>
        </w:tc>
        <w:tc>
          <w:tcPr>
            <w:tcW w:w="180" w:type="dxa"/>
            <w:vAlign w:val="bottom"/>
          </w:tcPr>
          <w:p>
            <w:pPr>
              <w:spacing w:after="0"/>
              <w:rPr>
                <w:sz w:val="21"/>
                <w:szCs w:val="21"/>
                <w:color w:val="auto"/>
              </w:rPr>
            </w:pPr>
          </w:p>
        </w:tc>
        <w:tc>
          <w:tcPr>
            <w:tcW w:w="9760" w:type="dxa"/>
            <w:vAlign w:val="bottom"/>
            <w:gridSpan w:val="32"/>
          </w:tcPr>
          <w:p>
            <w:pPr>
              <w:ind w:left="180"/>
              <w:spacing w:after="0"/>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117</w:t>
            </w: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gridSpan w:val="7"/>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9C.</w:t>
            </w:r>
          </w:p>
        </w:tc>
        <w:tc>
          <w:tcPr>
            <w:tcW w:w="9760" w:type="dxa"/>
            <w:vAlign w:val="bottom"/>
            <w:gridSpan w:val="32"/>
          </w:tcPr>
          <w:p>
            <w:pPr>
              <w:ind w:left="18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117</w:t>
            </w: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bottom w:val="single" w:sz="8" w:color="0000FF"/>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440" w:type="dxa"/>
            <w:vAlign w:val="bottom"/>
            <w:gridSpan w:val="6"/>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5"/>
        </w:trPr>
        <w:tc>
          <w:tcPr>
            <w:tcW w:w="20" w:type="dxa"/>
            <w:vAlign w:val="bottom"/>
          </w:tcPr>
          <w:p>
            <w:pPr>
              <w:spacing w:after="0"/>
              <w:rPr>
                <w:sz w:val="21"/>
                <w:szCs w:val="21"/>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3"/>
              </w:rPr>
              <w:t>Item 10.</w:t>
            </w:r>
          </w:p>
        </w:tc>
        <w:tc>
          <w:tcPr>
            <w:tcW w:w="260" w:type="dxa"/>
            <w:vAlign w:val="bottom"/>
            <w:gridSpan w:val="2"/>
          </w:tcPr>
          <w:p>
            <w:pPr>
              <w:spacing w:after="0"/>
              <w:rPr>
                <w:sz w:val="21"/>
                <w:szCs w:val="21"/>
                <w:color w:val="auto"/>
              </w:rPr>
            </w:pPr>
          </w:p>
        </w:tc>
        <w:tc>
          <w:tcPr>
            <w:tcW w:w="9760" w:type="dxa"/>
            <w:vAlign w:val="bottom"/>
            <w:gridSpan w:val="32"/>
          </w:tcPr>
          <w:p>
            <w:pPr>
              <w:ind w:left="18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118</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3"/>
              </w:rPr>
              <w:t>Item 11.</w:t>
            </w:r>
          </w:p>
        </w:tc>
        <w:tc>
          <w:tcPr>
            <w:tcW w:w="260" w:type="dxa"/>
            <w:vAlign w:val="bottom"/>
            <w:gridSpan w:val="2"/>
          </w:tcPr>
          <w:p>
            <w:pPr>
              <w:spacing w:after="0"/>
              <w:rPr>
                <w:sz w:val="21"/>
                <w:szCs w:val="21"/>
                <w:color w:val="auto"/>
              </w:rPr>
            </w:pPr>
          </w:p>
        </w:tc>
        <w:tc>
          <w:tcPr>
            <w:tcW w:w="9760" w:type="dxa"/>
            <w:vAlign w:val="bottom"/>
            <w:gridSpan w:val="32"/>
          </w:tcPr>
          <w:p>
            <w:pPr>
              <w:ind w:left="180"/>
              <w:spacing w:after="0"/>
              <w:rPr>
                <w:sz w:val="20"/>
                <w:szCs w:val="20"/>
                <w:color w:val="auto"/>
              </w:rPr>
            </w:pPr>
            <w:r>
              <w:rPr>
                <w:rFonts w:ascii="Times New Roman" w:cs="Times New Roman" w:eastAsia="Times New Roman" w:hAnsi="Times New Roman"/>
                <w:sz w:val="18"/>
                <w:szCs w:val="18"/>
                <w:color w:val="0000FF"/>
              </w:rPr>
              <w:t>Executive Compensation</w:t>
            </w: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118</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3"/>
              </w:rPr>
              <w:t>Item 12.</w:t>
            </w:r>
          </w:p>
        </w:tc>
        <w:tc>
          <w:tcPr>
            <w:tcW w:w="260" w:type="dxa"/>
            <w:vAlign w:val="bottom"/>
            <w:gridSpan w:val="2"/>
          </w:tcPr>
          <w:p>
            <w:pPr>
              <w:spacing w:after="0"/>
              <w:rPr>
                <w:sz w:val="21"/>
                <w:szCs w:val="21"/>
                <w:color w:val="auto"/>
              </w:rPr>
            </w:pPr>
          </w:p>
        </w:tc>
        <w:tc>
          <w:tcPr>
            <w:tcW w:w="9760" w:type="dxa"/>
            <w:vAlign w:val="bottom"/>
            <w:gridSpan w:val="32"/>
          </w:tcPr>
          <w:p>
            <w:pPr>
              <w:ind w:left="18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118</w:t>
            </w: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20" w:type="dxa"/>
            <w:vAlign w:val="bottom"/>
            <w:gridSpan w:val="8"/>
            <w:shd w:val="clear" w:color="auto" w:fill="0000FF"/>
          </w:tcPr>
          <w:p>
            <w:pPr>
              <w:spacing w:after="0" w:line="20" w:lineRule="exact"/>
              <w:rPr>
                <w:sz w:val="1"/>
                <w:szCs w:val="1"/>
                <w:color w:val="auto"/>
              </w:rPr>
            </w:pPr>
          </w:p>
        </w:tc>
        <w:tc>
          <w:tcPr>
            <w:tcW w:w="130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68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3"/>
              </w:rPr>
              <w:t>Item 13.</w:t>
            </w:r>
          </w:p>
        </w:tc>
        <w:tc>
          <w:tcPr>
            <w:tcW w:w="260" w:type="dxa"/>
            <w:vAlign w:val="bottom"/>
            <w:gridSpan w:val="2"/>
          </w:tcPr>
          <w:p>
            <w:pPr>
              <w:spacing w:after="0"/>
              <w:rPr>
                <w:sz w:val="21"/>
                <w:szCs w:val="21"/>
                <w:color w:val="auto"/>
              </w:rPr>
            </w:pPr>
          </w:p>
        </w:tc>
        <w:tc>
          <w:tcPr>
            <w:tcW w:w="9760" w:type="dxa"/>
            <w:vAlign w:val="bottom"/>
            <w:gridSpan w:val="32"/>
          </w:tcPr>
          <w:p>
            <w:pPr>
              <w:ind w:left="18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118</w:t>
            </w: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20" w:type="dxa"/>
            <w:vAlign w:val="bottom"/>
            <w:gridSpan w:val="8"/>
            <w:shd w:val="clear" w:color="auto" w:fill="0000FF"/>
          </w:tcPr>
          <w:p>
            <w:pPr>
              <w:spacing w:after="0" w:line="20" w:lineRule="exact"/>
              <w:rPr>
                <w:sz w:val="1"/>
                <w:szCs w:val="1"/>
                <w:color w:val="auto"/>
              </w:rPr>
            </w:pPr>
          </w:p>
        </w:tc>
        <w:tc>
          <w:tcPr>
            <w:tcW w:w="130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68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2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3"/>
              </w:rPr>
              <w:t>Item 14.</w:t>
            </w:r>
          </w:p>
        </w:tc>
        <w:tc>
          <w:tcPr>
            <w:tcW w:w="260" w:type="dxa"/>
            <w:vAlign w:val="bottom"/>
            <w:gridSpan w:val="2"/>
          </w:tcPr>
          <w:p>
            <w:pPr>
              <w:spacing w:after="0"/>
              <w:rPr>
                <w:sz w:val="21"/>
                <w:szCs w:val="21"/>
                <w:color w:val="auto"/>
              </w:rPr>
            </w:pPr>
          </w:p>
        </w:tc>
        <w:tc>
          <w:tcPr>
            <w:tcW w:w="9760" w:type="dxa"/>
            <w:vAlign w:val="bottom"/>
            <w:gridSpan w:val="32"/>
          </w:tcPr>
          <w:p>
            <w:pPr>
              <w:ind w:left="180"/>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118</w:t>
            </w:r>
          </w:p>
        </w:tc>
      </w:tr>
      <w:tr>
        <w:trPr>
          <w:trHeight w:val="245"/>
        </w:trPr>
        <w:tc>
          <w:tcPr>
            <w:tcW w:w="20" w:type="dxa"/>
            <w:vAlign w:val="bottom"/>
          </w:tcPr>
          <w:p>
            <w:pPr>
              <w:spacing w:after="0"/>
              <w:rPr>
                <w:sz w:val="21"/>
                <w:szCs w:val="21"/>
                <w:color w:val="auto"/>
              </w:rPr>
            </w:pPr>
          </w:p>
        </w:tc>
        <w:tc>
          <w:tcPr>
            <w:tcW w:w="4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160" w:type="dxa"/>
            <w:vAlign w:val="bottom"/>
            <w:gridSpan w:val="14"/>
          </w:tcPr>
          <w:p>
            <w:pPr>
              <w:jc w:val="center"/>
              <w:ind w:right="4460"/>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3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15</w:t>
            </w:r>
            <w:r>
              <w:rPr>
                <w:rFonts w:ascii="Times New Roman" w:cs="Times New Roman" w:eastAsia="Times New Roman" w:hAnsi="Times New Roman"/>
                <w:sz w:val="18"/>
                <w:szCs w:val="18"/>
                <w:color w:val="000000"/>
              </w:rPr>
              <w:t>.</w:t>
            </w:r>
          </w:p>
        </w:tc>
        <w:tc>
          <w:tcPr>
            <w:tcW w:w="4620" w:type="dxa"/>
            <w:vAlign w:val="bottom"/>
            <w:gridSpan w:val="19"/>
          </w:tcPr>
          <w:p>
            <w:pPr>
              <w:ind w:left="180"/>
              <w:spacing w:after="0"/>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680" w:type="dxa"/>
            <w:vAlign w:val="bottom"/>
            <w:tcBorders>
              <w:top w:val="single" w:sz="8" w:color="0000FF"/>
            </w:tcBorders>
            <w:gridSpan w:val="6"/>
          </w:tcPr>
          <w:p>
            <w:pPr>
              <w:spacing w:after="0"/>
              <w:rPr>
                <w:sz w:val="21"/>
                <w:szCs w:val="21"/>
                <w:color w:val="auto"/>
              </w:rPr>
            </w:pPr>
          </w:p>
        </w:tc>
        <w:tc>
          <w:tcPr>
            <w:tcW w:w="4460" w:type="dxa"/>
            <w:vAlign w:val="bottom"/>
            <w:gridSpan w:val="7"/>
          </w:tcPr>
          <w:p>
            <w:pPr>
              <w:spacing w:after="0"/>
              <w:rPr>
                <w:sz w:val="21"/>
                <w:szCs w:val="21"/>
                <w:color w:val="auto"/>
              </w:rPr>
            </w:pP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119</w:t>
            </w: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20" w:type="dxa"/>
            <w:vAlign w:val="bottom"/>
            <w:gridSpan w:val="8"/>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6560" w:type="dxa"/>
            <w:vAlign w:val="bottom"/>
            <w:gridSpan w:val="1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16</w:t>
            </w:r>
            <w:r>
              <w:rPr>
                <w:rFonts w:ascii="Times New Roman" w:cs="Times New Roman" w:eastAsia="Times New Roman" w:hAnsi="Times New Roman"/>
                <w:sz w:val="18"/>
                <w:szCs w:val="18"/>
                <w:color w:val="000000"/>
              </w:rPr>
              <w:t>.</w:t>
            </w:r>
          </w:p>
        </w:tc>
        <w:tc>
          <w:tcPr>
            <w:tcW w:w="9760" w:type="dxa"/>
            <w:vAlign w:val="bottom"/>
            <w:gridSpan w:val="32"/>
          </w:tcPr>
          <w:p>
            <w:pPr>
              <w:ind w:left="180"/>
              <w:spacing w:after="0"/>
              <w:rPr>
                <w:sz w:val="20"/>
                <w:szCs w:val="20"/>
                <w:color w:val="auto"/>
              </w:rPr>
            </w:pPr>
            <w:r>
              <w:rPr>
                <w:rFonts w:ascii="Times New Roman" w:cs="Times New Roman" w:eastAsia="Times New Roman" w:hAnsi="Times New Roman"/>
                <w:sz w:val="18"/>
                <w:szCs w:val="18"/>
                <w:color w:val="0000FF"/>
              </w:rPr>
              <w:t>Form 10-K Summary</w:t>
            </w: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121</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7"/>
        </w:trPr>
        <w:tc>
          <w:tcPr>
            <w:tcW w:w="20" w:type="dxa"/>
            <w:vAlign w:val="bottom"/>
          </w:tcPr>
          <w:p>
            <w:pPr>
              <w:spacing w:after="0"/>
              <w:rPr>
                <w:sz w:val="24"/>
                <w:szCs w:val="24"/>
                <w:color w:val="auto"/>
              </w:rPr>
            </w:pPr>
          </w:p>
        </w:tc>
        <w:tc>
          <w:tcPr>
            <w:tcW w:w="105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122</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1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All statements other than statements of historical facts contained in this Annual Report on Form 10-K, including statements regarding our future results of operations and financial position, business strategy, product candidates, planned nonclinical studies and clinical trials, results of nonclinical studies and clinical trials, research and development costs, planned regulatory submissions, regulatory approval, and the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8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Annual Report on Form 10-K include, but are not limited to, statements about:</w:t>
      </w:r>
    </w:p>
    <w:p>
      <w:pPr>
        <w:spacing w:after="0" w:line="72" w:lineRule="exact"/>
        <w:rPr>
          <w:sz w:val="20"/>
          <w:szCs w:val="20"/>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to fund our future operating expenses and capital expenditure requirements;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and timing of our estimates regarding expenses, revenue opportunities, capital requirements and needs for additional financing;</w:t>
      </w:r>
    </w:p>
    <w:p>
      <w:pPr>
        <w:spacing w:after="0" w:line="111" w:lineRule="exact"/>
        <w:rPr>
          <w:rFonts w:ascii="Times New Roman" w:cs="Times New Roman" w:eastAsia="Times New Roman" w:hAnsi="Times New Roman"/>
          <w:sz w:val="18"/>
          <w:szCs w:val="18"/>
          <w:color w:val="auto"/>
        </w:rPr>
      </w:pPr>
    </w:p>
    <w:p>
      <w:pPr>
        <w:ind w:left="640" w:right="36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developing LYL797, LYL845, LYL119 or any other product candidates we may develop, and conducting nonclinical studies and clinical trials, including for LYL797, LYL845 and LYL119;</w:t>
      </w:r>
    </w:p>
    <w:p>
      <w:pPr>
        <w:spacing w:after="0" w:line="57" w:lineRule="exact"/>
        <w:rPr>
          <w:rFonts w:ascii="Times New Roman" w:cs="Times New Roman" w:eastAsia="Times New Roman" w:hAnsi="Times New Roman"/>
          <w:sz w:val="18"/>
          <w:szCs w:val="18"/>
          <w:color w:val="auto"/>
        </w:rPr>
      </w:pPr>
    </w:p>
    <w:p>
      <w:pPr>
        <w:ind w:left="640" w:right="140" w:hanging="316"/>
        <w:spacing w:after="0" w:line="259"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involved in obtaining and maintaining regulatory approval of LYL797, LYL845, LYL119 or any other product candidates we may develop, and the timing or likelihood of regulatory filings and approvals, including any expectations regarding seeking special designations for our product candidates for various diseases;</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commercialization of LYL797, LYL845, LYL119 or any other product candidates we may develop, if approved, including the geographic areas of focus and our ability to grow a sales force;</w:t>
      </w:r>
    </w:p>
    <w:p>
      <w:pPr>
        <w:spacing w:after="0" w:line="57"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LYL797, LYL845, LYL119 or any other product candidates we may develop in each of the diseases we may target;</w:t>
      </w:r>
    </w:p>
    <w:p>
      <w:pPr>
        <w:spacing w:after="0" w:line="57" w:lineRule="exact"/>
        <w:rPr>
          <w:rFonts w:ascii="Times New Roman" w:cs="Times New Roman" w:eastAsia="Times New Roman" w:hAnsi="Times New Roman"/>
          <w:sz w:val="18"/>
          <w:szCs w:val="18"/>
          <w:color w:val="auto"/>
        </w:rPr>
      </w:pPr>
    </w:p>
    <w:p>
      <w:pPr>
        <w:ind w:left="640" w:right="62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nonclinical research activities for LYL797, LYL845, LYL119 or any other product candidates we may develop;</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characteristics, safety, efficacy and therapeutic effects of LYL797, LYL845, LYL119 or any other product candidates we may develop;</w:t>
      </w:r>
    </w:p>
    <w:p>
      <w:pPr>
        <w:spacing w:after="0" w:line="111" w:lineRule="exact"/>
        <w:rPr>
          <w:rFonts w:ascii="Times New Roman" w:cs="Times New Roman" w:eastAsia="Times New Roman" w:hAnsi="Times New Roman"/>
          <w:sz w:val="18"/>
          <w:szCs w:val="18"/>
          <w:color w:val="auto"/>
        </w:rPr>
      </w:pPr>
    </w:p>
    <w:p>
      <w:pPr>
        <w:ind w:left="640" w:right="16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in the United States who suffer from the diseases we target and the number of subjects that will enroll in our clinical trials;</w:t>
      </w:r>
    </w:p>
    <w:p>
      <w:pPr>
        <w:spacing w:after="0" w:line="57" w:lineRule="exact"/>
        <w:rPr>
          <w:rFonts w:ascii="Times New Roman" w:cs="Times New Roman" w:eastAsia="Times New Roman" w:hAnsi="Times New Roman"/>
          <w:sz w:val="18"/>
          <w:szCs w:val="18"/>
          <w:color w:val="auto"/>
        </w:rPr>
      </w:pPr>
    </w:p>
    <w:p>
      <w:pPr>
        <w:ind w:left="640" w:right="26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focus of our current and planned clinical trials of our product candidates, and the reporting of data from those trials, including the timing thereof;</w:t>
      </w:r>
    </w:p>
    <w:p>
      <w:pPr>
        <w:spacing w:after="0" w:line="57" w:lineRule="exact"/>
        <w:rPr>
          <w:rFonts w:ascii="Times New Roman" w:cs="Times New Roman" w:eastAsia="Times New Roman" w:hAnsi="Times New Roman"/>
          <w:sz w:val="18"/>
          <w:szCs w:val="18"/>
          <w:color w:val="auto"/>
        </w:rPr>
      </w:pPr>
    </w:p>
    <w:p>
      <w:pPr>
        <w:ind w:left="640" w:right="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the safety and efficacy of LYL797, LYL845, LYL119 or any other product candidates we may develop, and other positive results;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any existing or future competing product candidates and therapies;</w:t>
      </w:r>
    </w:p>
    <w:p>
      <w:pPr>
        <w:spacing w:after="0" w:line="111" w:lineRule="exact"/>
        <w:rPr>
          <w:rFonts w:ascii="Times New Roman" w:cs="Times New Roman" w:eastAsia="Times New Roman" w:hAnsi="Times New Roman"/>
          <w:sz w:val="18"/>
          <w:szCs w:val="18"/>
          <w:color w:val="auto"/>
        </w:rPr>
      </w:pPr>
    </w:p>
    <w:p>
      <w:pPr>
        <w:ind w:left="640" w:right="38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LYL797, LYL845, LYL119 or any other product candidates we may develop, including additional indications that we may pursue;</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111" w:lineRule="exact"/>
        <w:rPr>
          <w:rFonts w:ascii="Times New Roman" w:cs="Times New Roman" w:eastAsia="Times New Roman" w:hAnsi="Times New Roman"/>
          <w:sz w:val="18"/>
          <w:szCs w:val="18"/>
          <w:color w:val="auto"/>
        </w:rPr>
      </w:pPr>
    </w:p>
    <w:p>
      <w:pPr>
        <w:ind w:left="640" w:right="38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and ability to successfully manufacture and supply LYL797, LYL845, LYL119 or any other product candidates we may develop for clinical trials and for commercial use, if approved;</w:t>
      </w:r>
    </w:p>
    <w:p>
      <w:pPr>
        <w:spacing w:after="0" w:line="57" w:lineRule="exact"/>
        <w:rPr>
          <w:rFonts w:ascii="Times New Roman" w:cs="Times New Roman" w:eastAsia="Times New Roman" w:hAnsi="Times New Roman"/>
          <w:sz w:val="18"/>
          <w:szCs w:val="18"/>
          <w:color w:val="auto"/>
        </w:rPr>
      </w:pPr>
    </w:p>
    <w:p>
      <w:pPr>
        <w:ind w:left="640" w:right="20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LYL797, LYL845, LYL119 or any other product candidates we may develop, as well as the pricing and reimbursement of LYL797, LYL845, LYL119 or any other product candidates we may develop, if approved;</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40" w:right="36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additional clinical trials of LYL797, LYL845, LYL119 or any other product candidates we may develop, and for the manufacture of our product candidates;</w:t>
      </w:r>
    </w:p>
    <w:p>
      <w:pPr>
        <w:spacing w:after="0" w:line="57" w:lineRule="exact"/>
        <w:rPr>
          <w:rFonts w:ascii="Times New Roman" w:cs="Times New Roman" w:eastAsia="Times New Roman" w:hAnsi="Times New Roman"/>
          <w:sz w:val="18"/>
          <w:szCs w:val="18"/>
          <w:color w:val="auto"/>
        </w:rPr>
      </w:pPr>
    </w:p>
    <w:p>
      <w:pPr>
        <w:ind w:left="640" w:right="5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including LYL797, LYL845, LYL119 or any other product candidates we may develop;</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personnel and to identify, hire and then retain additional qualified personnel;</w:t>
      </w:r>
    </w:p>
    <w:p>
      <w:pPr>
        <w:spacing w:after="0" w:line="111" w:lineRule="exact"/>
        <w:rPr>
          <w:rFonts w:ascii="Times New Roman" w:cs="Times New Roman" w:eastAsia="Times New Roman" w:hAnsi="Times New Roman"/>
          <w:sz w:val="18"/>
          <w:szCs w:val="18"/>
          <w:color w:val="auto"/>
        </w:rPr>
      </w:pPr>
    </w:p>
    <w:p>
      <w:pPr>
        <w:ind w:left="640" w:right="1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the COVID-19 pandemic on our business and operations, including clinical trials, manufacturing suppliers, collaborators, use of contract research organizations (CROs) and employees;</w:t>
      </w:r>
    </w:p>
    <w:p>
      <w:pPr>
        <w:spacing w:after="0" w:line="57" w:lineRule="exact"/>
        <w:rPr>
          <w:rFonts w:ascii="Times New Roman" w:cs="Times New Roman" w:eastAsia="Times New Roman" w:hAnsi="Times New Roman"/>
          <w:sz w:val="18"/>
          <w:szCs w:val="18"/>
          <w:color w:val="auto"/>
        </w:rPr>
      </w:pPr>
    </w:p>
    <w:p>
      <w:pPr>
        <w:ind w:left="640" w:right="8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inflation, macroeconomic conditions and geopolitical conflicts on our business and operations, including on our manufacturing suppliers, collaborators, CROs and employees; and</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cash, cash equivalents and marketable securities.</w:t>
      </w:r>
    </w:p>
    <w:p>
      <w:pPr>
        <w:spacing w:after="0" w:line="11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on Form 10-K and are subject to a number of risks, uncertainties and assumptions described under “Risk Factors” in Part I, Item 1A, and elsewhere in this Annual Report on Form</w:t>
      </w:r>
    </w:p>
    <w:p>
      <w:pPr>
        <w:spacing w:after="0" w:line="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these forward-looking statements. Except as required by applicable law, we undertake no obligation to update or supplement any forward-looking statements publicly, or to update or supplement the reasons that actual results could differ materially from those projected in these forward-looking statements, even if new information becomes available in the future.</w:t>
      </w:r>
    </w:p>
    <w:p>
      <w:pPr>
        <w:spacing w:after="0" w:line="8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85" w:lineRule="exact"/>
        <w:rPr>
          <w:sz w:val="20"/>
          <w:szCs w:val="20"/>
          <w:color w:val="auto"/>
        </w:rPr>
      </w:pPr>
    </w:p>
    <w:p>
      <w:pPr>
        <w:ind w:right="20" w:firstLine="636"/>
        <w:spacing w:after="0" w:line="253" w:lineRule="auto"/>
        <w:rPr>
          <w:sz w:val="20"/>
          <w:szCs w:val="20"/>
          <w:color w:val="auto"/>
        </w:rPr>
      </w:pPr>
      <w:r>
        <w:rPr>
          <w:rFonts w:ascii="Times New Roman" w:cs="Times New Roman" w:eastAsia="Times New Roman" w:hAnsi="Times New Roman"/>
          <w:sz w:val="18"/>
          <w:szCs w:val="18"/>
          <w:i w:val="1"/>
          <w:iCs w:val="1"/>
          <w:color w:val="auto"/>
        </w:rPr>
        <w:t>Below is a summary of material factors that make an investment in our securities speculative or risky. Importantly, this summary does not address all of the risks and uncertainties that we face. Additional discussion of the risks and uncertainties summarized in this risk factor summary, as well as other risks and uncertainties that we face, can be found under “Risk Factors” in Part I, Item 1A of this Annual Report on Form 10-K. This summary is qualified in its entirety by that more complete discussion of such risks and uncertainties. You should carefully consider the risks and uncertainties described under “Risk Factors” in Part I, Item 1A of this Annual Report on Form 10-K as part of your evaluation of an investment in our common stock.</w:t>
      </w:r>
    </w:p>
    <w:p>
      <w:pPr>
        <w:spacing w:after="0" w:line="77" w:lineRule="exact"/>
        <w:rPr>
          <w:sz w:val="20"/>
          <w:szCs w:val="20"/>
          <w:color w:val="auto"/>
        </w:rPr>
      </w:pPr>
    </w:p>
    <w:p>
      <w:pPr>
        <w:ind w:left="640" w:right="600" w:hanging="316"/>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 clinical stage biopharmaceutical company and have incurred substantial losses since our inception and anticipate that we will continue to incur substantial and increasing net losses for the foreseeable future.</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rapidly evolving field and have a limited operating history, which may make it difficult to evaluate the success of our business to date and to assess our future viability.</w:t>
      </w:r>
    </w:p>
    <w:p>
      <w:pPr>
        <w:spacing w:after="0" w:line="57"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no products approved for sale and have never generated revenue from product sales. We may never generate revenue from product sales or achieve profitability.</w:t>
      </w:r>
    </w:p>
    <w:p>
      <w:pPr>
        <w:spacing w:after="0" w:line="57" w:lineRule="exact"/>
        <w:rPr>
          <w:rFonts w:ascii="Times New Roman" w:cs="Times New Roman" w:eastAsia="Times New Roman" w:hAnsi="Times New Roman"/>
          <w:sz w:val="18"/>
          <w:szCs w:val="18"/>
          <w:color w:val="auto"/>
        </w:rPr>
      </w:pPr>
    </w:p>
    <w:p>
      <w:pPr>
        <w:ind w:left="640" w:right="120" w:hanging="316"/>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achieve our goals, and a failure to obtain this necessary capital when needed could force us to delay, limit, reduce or terminate our product development or commercialization efforts.</w:t>
      </w:r>
    </w:p>
    <w:p>
      <w:pPr>
        <w:spacing w:after="0" w:line="57" w:lineRule="exact"/>
        <w:rPr>
          <w:rFonts w:ascii="Times New Roman" w:cs="Times New Roman" w:eastAsia="Times New Roman" w:hAnsi="Times New Roman"/>
          <w:sz w:val="18"/>
          <w:szCs w:val="18"/>
          <w:color w:val="auto"/>
        </w:rPr>
      </w:pPr>
    </w:p>
    <w:p>
      <w:pPr>
        <w:ind w:left="640" w:right="620" w:hanging="316"/>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payment obligations in our success payment agreements may result in dilution to our stockholders or may be a drain on our cash resources to satisfy the payment obligations.</w:t>
      </w:r>
    </w:p>
    <w:p>
      <w:pPr>
        <w:spacing w:after="0" w:line="57" w:lineRule="exact"/>
        <w:rPr>
          <w:rFonts w:ascii="Times New Roman" w:cs="Times New Roman" w:eastAsia="Times New Roman" w:hAnsi="Times New Roman"/>
          <w:sz w:val="18"/>
          <w:szCs w:val="18"/>
          <w:color w:val="auto"/>
        </w:rPr>
      </w:pPr>
    </w:p>
    <w:p>
      <w:pPr>
        <w:ind w:left="640" w:right="720" w:hanging="316"/>
        <w:spacing w:after="0" w:line="304" w:lineRule="auto"/>
        <w:tabs>
          <w:tab w:leader="none" w:pos="63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early in our research and development efforts and just beginning clinical development of our product candidates. If we are unable to successfully develop and commercialize product candidates or experience significant delays in doing so, our business may be harmed.</w:t>
      </w:r>
    </w:p>
    <w:p>
      <w:pPr>
        <w:spacing w:after="0" w:line="34" w:lineRule="exact"/>
        <w:rPr>
          <w:rFonts w:ascii="Times New Roman" w:cs="Times New Roman" w:eastAsia="Times New Roman" w:hAnsi="Times New Roman"/>
          <w:sz w:val="17"/>
          <w:szCs w:val="17"/>
          <w:color w:val="auto"/>
        </w:rPr>
      </w:pPr>
    </w:p>
    <w:p>
      <w:pPr>
        <w:ind w:left="640" w:right="120" w:hanging="316"/>
        <w:spacing w:after="0" w:line="255"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and technology platforms are based on novel technologies that are unproven and may not result in approvable or marketable products, which exposes us to unforeseen risks and makes it difficult for us to predict the time and cost of product development and potential for regulatory approval, and we may not be successful in our efforts to use and expand our technology platforms to build a pipeline of product candidates.</w:t>
      </w:r>
    </w:p>
    <w:p>
      <w:pPr>
        <w:spacing w:after="0" w:line="74" w:lineRule="exact"/>
        <w:rPr>
          <w:rFonts w:ascii="Times New Roman" w:cs="Times New Roman" w:eastAsia="Times New Roman" w:hAnsi="Times New Roman"/>
          <w:sz w:val="18"/>
          <w:szCs w:val="18"/>
          <w:color w:val="auto"/>
        </w:rPr>
      </w:pPr>
    </w:p>
    <w:p>
      <w:pPr>
        <w:ind w:left="640" w:right="720" w:hanging="316"/>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no marketing, sales or distribution infrastructure, and we intend to either establish a sales and marketing infrastructure or outsource this function to a third party. Either of these commercialization strategies carries substantial risks to us.</w:t>
      </w:r>
    </w:p>
    <w:p>
      <w:pPr>
        <w:spacing w:after="0" w:line="57" w:lineRule="exact"/>
        <w:rPr>
          <w:rFonts w:ascii="Times New Roman" w:cs="Times New Roman" w:eastAsia="Times New Roman" w:hAnsi="Times New Roman"/>
          <w:sz w:val="18"/>
          <w:szCs w:val="18"/>
          <w:color w:val="auto"/>
        </w:rPr>
      </w:pPr>
    </w:p>
    <w:p>
      <w:pPr>
        <w:ind w:left="640" w:right="140" w:hanging="316"/>
        <w:spacing w:after="0" w:line="304" w:lineRule="auto"/>
        <w:tabs>
          <w:tab w:leader="none" w:pos="63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could continue to be adversely affected by the effects of health epidemics, including the COVID-19 pandemic, in regions where we or third parties on which we rely have significant manufacturing facilities, concentrations of potential clinical trial sites or other business operations.</w:t>
      </w:r>
    </w:p>
    <w:p>
      <w:pPr>
        <w:spacing w:after="0" w:line="34" w:lineRule="exact"/>
        <w:rPr>
          <w:rFonts w:ascii="Times New Roman" w:cs="Times New Roman" w:eastAsia="Times New Roman" w:hAnsi="Times New Roman"/>
          <w:sz w:val="17"/>
          <w:szCs w:val="17"/>
          <w:color w:val="auto"/>
        </w:rPr>
      </w:pPr>
    </w:p>
    <w:p>
      <w:pPr>
        <w:ind w:left="640" w:right="100" w:hanging="316"/>
        <w:spacing w:after="0" w:line="304" w:lineRule="auto"/>
        <w:tabs>
          <w:tab w:leader="none" w:pos="63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intend to manufacture at least a portion of our product candidates ourselves. Delays in further qualifying or in receiving regulatory approvals for our manufacturing facility and product candidates could delay our development plans and thereby limit our ability to generate product revenues.</w:t>
      </w:r>
    </w:p>
    <w:p>
      <w:pPr>
        <w:spacing w:after="0" w:line="34" w:lineRule="exact"/>
        <w:rPr>
          <w:rFonts w:ascii="Times New Roman" w:cs="Times New Roman" w:eastAsia="Times New Roman" w:hAnsi="Times New Roman"/>
          <w:sz w:val="17"/>
          <w:szCs w:val="17"/>
          <w:color w:val="auto"/>
        </w:rPr>
      </w:pPr>
    </w:p>
    <w:p>
      <w:pPr>
        <w:ind w:left="640" w:right="40" w:hanging="316"/>
        <w:spacing w:after="0" w:line="259"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cellular therapies is very complex. We are subject to a multitude of manufacturing risks, including risks associated with supply chain complexity related to patient materials, any of which could substantially increase our costs, delay our programs or limit supply of our product candidates.</w:t>
      </w:r>
    </w:p>
    <w:p>
      <w:pPr>
        <w:spacing w:after="0" w:line="71" w:lineRule="exact"/>
        <w:rPr>
          <w:rFonts w:ascii="Times New Roman" w:cs="Times New Roman" w:eastAsia="Times New Roman" w:hAnsi="Times New Roman"/>
          <w:sz w:val="18"/>
          <w:szCs w:val="18"/>
          <w:color w:val="auto"/>
        </w:rPr>
      </w:pPr>
    </w:p>
    <w:p>
      <w:pPr>
        <w:ind w:left="640" w:right="180" w:hanging="316"/>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sole clinical or commercial manufacturing facility or our contract manufacturing organization is damaged or destroyed or production at these facilities is otherwise interrupted, our business would be negatively affected.</w:t>
      </w:r>
    </w:p>
    <w:p>
      <w:pPr>
        <w:spacing w:after="0" w:line="57" w:lineRule="exact"/>
        <w:rPr>
          <w:rFonts w:ascii="Times New Roman" w:cs="Times New Roman" w:eastAsia="Times New Roman" w:hAnsi="Times New Roman"/>
          <w:sz w:val="18"/>
          <w:szCs w:val="18"/>
          <w:color w:val="auto"/>
        </w:rPr>
      </w:pPr>
    </w:p>
    <w:p>
      <w:pPr>
        <w:ind w:left="640" w:right="460" w:hanging="316"/>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develop or scale our own manufacturing, we may have to rely on third parties to manufacture our product candidates, which subjects us to risks and could delay or prevent our development and/or commercialization, if approved, of our product candidates.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Cell-based therapies rely on the availability of specialty raw materials, which may not be available to us on acceptable terms or at all.</w:t>
      </w:r>
    </w:p>
    <w:p>
      <w:pPr>
        <w:spacing w:after="0" w:line="111" w:lineRule="exact"/>
        <w:rPr>
          <w:rFonts w:ascii="Times New Roman" w:cs="Times New Roman" w:eastAsia="Times New Roman" w:hAnsi="Times New Roman"/>
          <w:sz w:val="18"/>
          <w:szCs w:val="18"/>
          <w:color w:val="auto"/>
        </w:rPr>
      </w:pPr>
    </w:p>
    <w:p>
      <w:pPr>
        <w:ind w:left="640" w:right="60" w:hanging="316"/>
        <w:spacing w:after="0" w:line="255"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rely on third parties to conduct, supervise and monitor a significant portion of our research and nonclinical studies and clinical trials for our product candidates, and, if those third parties do not successfully carry out their contractual duties, comply with regulatory requirements or otherwise perform satisfactorily, we may not be able to obtain regulatory approval or commercialize product candidates, or such approval or commercialization may be delayed, and our business may be substantially harmed.</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40" w:right="40" w:hanging="316"/>
        <w:spacing w:after="0" w:line="274"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 the past, and we may in the future, form or seek collaborations or strategic alliances or enter into additional licensing arrangements in the future, and we may not realize the benefits of such alliances or licensing arrangements.</w:t>
      </w:r>
    </w:p>
    <w:p>
      <w:pPr>
        <w:spacing w:after="0" w:line="57" w:lineRule="exact"/>
        <w:rPr>
          <w:rFonts w:ascii="Times New Roman" w:cs="Times New Roman" w:eastAsia="Times New Roman" w:hAnsi="Times New Roman"/>
          <w:sz w:val="18"/>
          <w:szCs w:val="18"/>
          <w:color w:val="auto"/>
        </w:rPr>
      </w:pPr>
    </w:p>
    <w:p>
      <w:pPr>
        <w:ind w:left="640" w:hanging="316"/>
        <w:spacing w:after="0" w:line="259"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the enrollment and retention of patients in our current and planned clinical trials for our product candidates. If we experience delays or difficulties enrolling or retaining patients in our clinical trials, our research and development efforts and business, financial condition and results of operations could be materially adversely affected.</w:t>
      </w:r>
    </w:p>
    <w:p>
      <w:pPr>
        <w:spacing w:after="0" w:line="71" w:lineRule="exact"/>
        <w:rPr>
          <w:rFonts w:ascii="Times New Roman" w:cs="Times New Roman" w:eastAsia="Times New Roman" w:hAnsi="Times New Roman"/>
          <w:sz w:val="18"/>
          <w:szCs w:val="18"/>
          <w:color w:val="auto"/>
        </w:rPr>
      </w:pPr>
    </w:p>
    <w:p>
      <w:pPr>
        <w:ind w:left="640" w:right="180" w:hanging="316"/>
        <w:spacing w:after="0" w:line="274"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57" w:lineRule="exact"/>
        <w:rPr>
          <w:rFonts w:ascii="Times New Roman" w:cs="Times New Roman" w:eastAsia="Times New Roman" w:hAnsi="Times New Roman"/>
          <w:sz w:val="18"/>
          <w:szCs w:val="18"/>
          <w:color w:val="auto"/>
        </w:rPr>
      </w:pPr>
    </w:p>
    <w:p>
      <w:pPr>
        <w:ind w:left="640" w:right="240" w:hanging="316"/>
        <w:spacing w:after="0" w:line="304" w:lineRule="auto"/>
        <w:tabs>
          <w:tab w:leader="none" w:pos="6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cellular therapy product candidates represent new therapeutic approaches that could result in heightened regulatory scrutiny, delays in clinical development or delays in or our inability to achieve regulatory approval, commercialization or payor coverage of our product candidates.</w:t>
      </w:r>
    </w:p>
    <w:p>
      <w:pPr>
        <w:spacing w:after="0" w:line="34" w:lineRule="exact"/>
        <w:rPr>
          <w:rFonts w:ascii="Times New Roman" w:cs="Times New Roman" w:eastAsia="Times New Roman" w:hAnsi="Times New Roman"/>
          <w:sz w:val="17"/>
          <w:szCs w:val="17"/>
          <w:color w:val="auto"/>
        </w:rPr>
      </w:pPr>
    </w:p>
    <w:p>
      <w:pPr>
        <w:ind w:left="640" w:right="60" w:hanging="316"/>
        <w:spacing w:after="0" w:line="274"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research, nonclinical studies or earlier clinical trials are not necessarily predictive of future results. Any product candidate we advance into clinical trials may not have favorable results in later clinical trials or receive regulatory approval.</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involves a lengthy and expensive process with an uncertain outcome.</w:t>
      </w:r>
    </w:p>
    <w:p>
      <w:pPr>
        <w:spacing w:after="0" w:line="111" w:lineRule="exact"/>
        <w:rPr>
          <w:rFonts w:ascii="Times New Roman" w:cs="Times New Roman" w:eastAsia="Times New Roman" w:hAnsi="Times New Roman"/>
          <w:sz w:val="18"/>
          <w:szCs w:val="18"/>
          <w:color w:val="auto"/>
        </w:rPr>
      </w:pPr>
    </w:p>
    <w:p>
      <w:pPr>
        <w:ind w:left="640" w:right="180" w:hanging="316"/>
        <w:spacing w:after="0" w:line="259"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or preliminary data from our clinical trials that we announce or publish from time to time may change as more patient data become available or as we make changes to our manufacturing processes and are subject to audit and verification procedures that could result in material changes in the final data.</w:t>
      </w:r>
    </w:p>
    <w:p>
      <w:pPr>
        <w:spacing w:after="0" w:line="7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and economic conditions may have serious adverse consequences on our business, financial condition and stock price.</w:t>
      </w:r>
    </w:p>
    <w:p>
      <w:pPr>
        <w:spacing w:after="0" w:line="111" w:lineRule="exact"/>
        <w:rPr>
          <w:rFonts w:ascii="Times New Roman" w:cs="Times New Roman" w:eastAsia="Times New Roman" w:hAnsi="Times New Roman"/>
          <w:sz w:val="18"/>
          <w:szCs w:val="18"/>
          <w:color w:val="auto"/>
        </w:rPr>
      </w:pPr>
    </w:p>
    <w:p>
      <w:pPr>
        <w:ind w:left="640" w:right="360" w:hanging="316"/>
        <w:spacing w:after="0" w:line="259"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intellectual property protection for our product candidates, or if the scope of the intellectual property protection is not sufficiently broad, our ability to commercialize our product candidates successfully and to compete effectively may be adversely affected.</w:t>
      </w:r>
    </w:p>
    <w:p>
      <w:pPr>
        <w:spacing w:after="0" w:line="71" w:lineRule="exact"/>
        <w:rPr>
          <w:rFonts w:ascii="Times New Roman" w:cs="Times New Roman" w:eastAsia="Times New Roman" w:hAnsi="Times New Roman"/>
          <w:sz w:val="18"/>
          <w:szCs w:val="18"/>
          <w:color w:val="auto"/>
        </w:rPr>
      </w:pPr>
    </w:p>
    <w:p>
      <w:pPr>
        <w:ind w:left="640" w:right="20" w:hanging="316"/>
        <w:spacing w:after="0" w:line="304" w:lineRule="auto"/>
        <w:tabs>
          <w:tab w:leader="none" w:pos="6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in-licensed a significant portion of our intellectual property from our partners. If we breach any of our license agreements with these partners, we could potentially lose the ability to continue the development and potential commercialization of one or more of our product candidates.</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1" w:lineRule="exact"/>
        <w:rPr>
          <w:sz w:val="20"/>
          <w:szCs w:val="20"/>
          <w:color w:val="auto"/>
        </w:rPr>
      </w:pPr>
    </w:p>
    <w:p>
      <w:pPr>
        <w:ind w:firstLine="636"/>
        <w:spacing w:after="0" w:line="216" w:lineRule="exact"/>
        <w:rPr>
          <w:sz w:val="20"/>
          <w:szCs w:val="20"/>
          <w:color w:val="auto"/>
        </w:rPr>
      </w:pPr>
      <w:r>
        <w:rPr>
          <w:rFonts w:ascii="Times New Roman" w:cs="Times New Roman" w:eastAsia="Times New Roman" w:hAnsi="Times New Roman"/>
          <w:sz w:val="17"/>
          <w:szCs w:val="17"/>
          <w:color w:val="auto"/>
        </w:rPr>
        <w:t xml:space="preserve">We are a clinical-stage cell therapy company advancing a pipeline of product candidates for patients with solid tumors utilizing our proprietary </w:t>
      </w:r>
      <w:r>
        <w:rPr>
          <w:rFonts w:ascii="Times New Roman" w:cs="Times New Roman" w:eastAsia="Times New Roman" w:hAnsi="Times New Roman"/>
          <w:sz w:val="17"/>
          <w:szCs w:val="17"/>
          <w:i w:val="1"/>
          <w:iCs w:val="1"/>
          <w:color w:val="auto"/>
        </w:rPr>
        <w:t>ex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vivo </w:t>
      </w:r>
      <w:r>
        <w:rPr>
          <w:rFonts w:ascii="Times New Roman" w:cs="Times New Roman" w:eastAsia="Times New Roman" w:hAnsi="Times New Roman"/>
          <w:sz w:val="17"/>
          <w:szCs w:val="17"/>
          <w:color w:val="auto"/>
        </w:rPr>
        <w:t>genetic and epigenetic 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cell reprogramming technologies. Our investigational therapies use the patient’s own cells as the starting point to generate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highly tumor-reactive, longer-lasting functional T cells with enhanced ability to defeat solid tumors. Our innovative reprogramming technologies address what we believe are the primary barriers that limit consistent and long-lasting responses to 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cell therapy in solid tumors: 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cell exhaustion and lack of durable stemness. Our technologies are designed to generate T cells with the ability to persist and self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renew while driving durable tumor cytotoxicity, even in the setting of an immunosuppressive tumor microenvironment. The goal is for our technologies to provide patients with T cells that are potent and long-lasting</w:t>
      </w:r>
    </w:p>
    <w:p>
      <w:pPr>
        <w:spacing w:after="0" w:line="3" w:lineRule="exact"/>
        <w:rPr>
          <w:sz w:val="20"/>
          <w:szCs w:val="20"/>
          <w:color w:val="auto"/>
        </w:rPr>
      </w:pPr>
    </w:p>
    <w:p>
      <w:pPr>
        <w:ind w:right="520"/>
        <w:spacing w:after="0" w:line="241" w:lineRule="exact"/>
        <w:rPr>
          <w:sz w:val="20"/>
          <w:szCs w:val="20"/>
          <w:color w:val="auto"/>
        </w:rPr>
      </w:pPr>
      <w:r>
        <w:rPr>
          <w:rFonts w:ascii="Times New Roman" w:cs="Times New Roman" w:eastAsia="Times New Roman" w:hAnsi="Times New Roman"/>
          <w:sz w:val="18"/>
          <w:szCs w:val="18"/>
          <w:color w:val="auto"/>
        </w:rPr>
        <w:t>enough to achieve durable antitumor responses. Furthermore, our technologies can be applied in a target agnostic manner to multiple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modalities, including chimeric antigen receptor (CAR), tumor-infiltrating lymphocytes (TIL) and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receptor (TCR) therapies.</w:t>
      </w:r>
    </w:p>
    <w:p>
      <w:pPr>
        <w:spacing w:after="0" w:line="41" w:lineRule="exact"/>
        <w:rPr>
          <w:sz w:val="20"/>
          <w:szCs w:val="20"/>
          <w:color w:val="auto"/>
        </w:rPr>
      </w:pPr>
    </w:p>
    <w:p>
      <w:pPr>
        <w:ind w:right="40" w:firstLine="636"/>
        <w:spacing w:after="0" w:line="224" w:lineRule="exact"/>
        <w:rPr>
          <w:sz w:val="20"/>
          <w:szCs w:val="20"/>
          <w:color w:val="auto"/>
        </w:rPr>
      </w:pPr>
      <w:r>
        <w:rPr>
          <w:rFonts w:ascii="Times New Roman" w:cs="Times New Roman" w:eastAsia="Times New Roman" w:hAnsi="Times New Roman"/>
          <w:sz w:val="18"/>
          <w:szCs w:val="18"/>
          <w:color w:val="auto"/>
        </w:rPr>
        <w:t>We apply our technologies with the aim to develop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therapies with improved durable clinical outcomes. Our growing pipeline of promising cell product candidates targets solid tumor indications with large unmet needs that are collectively responsible for approximately 180,000 deaths in the US annually. Each of our programs provide opportunities to expand into additional indications beyond the patient populations we are initially targeting. Our product candidates are summarized in the Table 1 below:</w:t>
      </w:r>
    </w:p>
    <w:p>
      <w:pPr>
        <w:spacing w:after="0" w:line="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Table 1</w:t>
      </w:r>
      <w:r>
        <w:rPr>
          <w:rFonts w:ascii="Times New Roman" w:cs="Times New Roman" w:eastAsia="Times New Roman" w:hAnsi="Times New Roman"/>
          <w:sz w:val="18"/>
          <w:szCs w:val="18"/>
          <w:color w:val="auto"/>
        </w:rPr>
        <w:t>: Lyell’s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150495</wp:posOffset>
            </wp:positionV>
            <wp:extent cx="5553075" cy="27260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53075"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84" w:lineRule="exact"/>
        <w:rPr>
          <w:sz w:val="20"/>
          <w:szCs w:val="20"/>
          <w:color w:val="auto"/>
        </w:rPr>
      </w:pPr>
    </w:p>
    <w:p>
      <w:pPr>
        <w:ind w:right="20" w:firstLine="541"/>
        <w:spacing w:after="0" w:line="236" w:lineRule="exact"/>
        <w:rPr>
          <w:sz w:val="20"/>
          <w:szCs w:val="20"/>
          <w:color w:val="auto"/>
        </w:rPr>
      </w:pPr>
      <w:r>
        <w:rPr>
          <w:rFonts w:ascii="Times New Roman" w:cs="Times New Roman" w:eastAsia="Times New Roman" w:hAnsi="Times New Roman"/>
          <w:sz w:val="17"/>
          <w:szCs w:val="17"/>
          <w:color w:val="auto"/>
        </w:rPr>
        <w:t>Our goal is to develop innovative therapies for patients with solid tumors based on our proprietary 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cell reprogramming technologies, which generate tumor-reactive, long-lasting functional T cells that resist exhaustion and maintain the ability to self-renew and persist to drive durable tumor cytotoxicity.</w:t>
      </w:r>
    </w:p>
    <w:p>
      <w:pPr>
        <w:spacing w:after="0" w:line="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Key components of our business strategy to achieve this goal include:</w:t>
      </w:r>
    </w:p>
    <w:p>
      <w:pPr>
        <w:spacing w:after="0" w:line="82" w:lineRule="exact"/>
        <w:rPr>
          <w:sz w:val="20"/>
          <w:szCs w:val="20"/>
          <w:color w:val="auto"/>
        </w:rPr>
      </w:pPr>
    </w:p>
    <w:p>
      <w:pPr>
        <w:ind w:left="640" w:hanging="316"/>
        <w:spacing w:after="0" w:line="221" w:lineRule="exact"/>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Efficiently advance our diverse pipeline of product candidates </w:t>
      </w:r>
      <w:r>
        <w:rPr>
          <w:rFonts w:ascii="Times New Roman" w:cs="Times New Roman" w:eastAsia="Times New Roman" w:hAnsi="Times New Roman"/>
          <w:sz w:val="18"/>
          <w:szCs w:val="18"/>
          <w:color w:val="auto"/>
        </w:rPr>
        <w:t>— We believe our autologous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therapies will deliver improved, durable clinical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outcomes for patients with solid tumors. We have two wholly owned product candidates in two distinct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modalities, CAR T cell and TIL, currently in Phase 1 development targeting indications with unmet medical needs in large commercial opportunities. We anticipate having initial clinical data for both programs in 2024 and filing a new Investigational New Drug (IND) application for our third wholly-owned product candidate in the first half of 2024.</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right="100" w:hanging="316"/>
        <w:spacing w:after="0" w:line="235" w:lineRule="exact"/>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Leverage our proprietary, cell reprogramming technology platforms to create highly tumor-reactive, longer</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lasting functional T cells with enhanced ability to defeat solid tumors </w:t>
      </w:r>
      <w:r>
        <w:rPr>
          <w:rFonts w:ascii="Times New Roman" w:cs="Times New Roman" w:eastAsia="Times New Roman" w:hAnsi="Times New Roman"/>
          <w:sz w:val="18"/>
          <w:szCs w:val="18"/>
          <w:color w:val="auto"/>
        </w:rPr>
        <w:t>— We seek to develop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therapies to defeat solid tumors by addressing the major barriers to successful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cell therapy in solid tumors, including overcoming exhaustion of T cells and creating populations of T cells with properties of durable stemness. Our pipeline of therapeutic candidates includes programs designed to outlast and eradicate solid tumors utilizing our proprietary, stackable genetic and epigenetic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reprogramming technologies: c-Jun overexpression, NR4A3 knockout, Epi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and Stim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w:t>
      </w:r>
    </w:p>
    <w:p>
      <w:pPr>
        <w:spacing w:after="0" w:line="19" w:lineRule="exact"/>
        <w:rPr>
          <w:rFonts w:ascii="Times New Roman" w:cs="Times New Roman" w:eastAsia="Times New Roman" w:hAnsi="Times New Roman"/>
          <w:sz w:val="18"/>
          <w:szCs w:val="18"/>
          <w:color w:val="auto"/>
        </w:rPr>
      </w:pPr>
    </w:p>
    <w:p>
      <w:pPr>
        <w:ind w:left="640" w:right="40" w:hanging="316"/>
        <w:spacing w:after="0" w:line="220" w:lineRule="exact"/>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Continually innovate to develop and advance novel, breakthrough technologies for cell therapy </w:t>
      </w:r>
      <w:r>
        <w:rPr>
          <w:rFonts w:ascii="Times New Roman" w:cs="Times New Roman" w:eastAsia="Times New Roman" w:hAnsi="Times New Roman"/>
          <w:sz w:val="18"/>
          <w:szCs w:val="18"/>
          <w:color w:val="auto"/>
        </w:rPr>
        <w:t>— We are committed to continuing to discover,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 and advance disruptive technologies that have the potential to revolutionize cell therapy and its promise to improve the lives of patients with solid tumors. For example, our new NR4A3 gene knockout and Stim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reprogramming technologies are designed to further improve the potency and durability of T cells. These novel technologies are being utilized in our new CAR T-cell product candidate, LYL119, in addition to c-Jun overexpression and Epi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with the goal of creating even greater benefit to patients with cancer.</w:t>
      </w:r>
    </w:p>
    <w:p>
      <w:pPr>
        <w:spacing w:after="0" w:line="41" w:lineRule="exact"/>
        <w:rPr>
          <w:rFonts w:ascii="Times New Roman" w:cs="Times New Roman" w:eastAsia="Times New Roman" w:hAnsi="Times New Roman"/>
          <w:sz w:val="18"/>
          <w:szCs w:val="18"/>
          <w:color w:val="auto"/>
        </w:rPr>
      </w:pPr>
    </w:p>
    <w:p>
      <w:pPr>
        <w:ind w:left="640" w:hanging="316"/>
        <w:spacing w:after="0" w:line="217" w:lineRule="exact"/>
        <w:tabs>
          <w:tab w:leader="none" w:pos="6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Maintain proprietary state</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of</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the</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art infrastructure and capabilities to control all aspects of cell product manufacturing </w:t>
      </w:r>
      <w:r>
        <w:rPr>
          <w:rFonts w:ascii="Times New Roman" w:cs="Times New Roman" w:eastAsia="Times New Roman" w:hAnsi="Times New Roman"/>
          <w:sz w:val="17"/>
          <w:szCs w:val="17"/>
          <w:color w:val="auto"/>
        </w:rPr>
        <w:t>— We have and will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continue to invest in manufacturing with the goal to reliably produce the highest quality cell therapy products for patients. This is achieved through implementing consistent processes and mitigating risks, including risks arising from the challenges of managing production, supply chain, patient specimen chain of custody and quality. We have built and operate a wholly-owned manufacturing facility, LyFE™, which is a multi-product manufacturing center that can produce plasmid, lentiviral vector and cell products. LyFE has been commissioned and qualified in compliance with U.S. Food and Drug Administration’s Current Good Manufacturing Practices (cGMP) and is manufacturing cell product for our clinical trials. We expect maintaining our own manufacturing facility to not only enable us to implement consistent processes and manage risk, but also to protect proprietary aspects of our reprogramming technologies, support seamless collaboration across research, development and manufacturing, access more detailed and timely product characterization information and rapidly incorporate new innovations. Our technology infrastructure enables real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time monitoring of our manufacturing process and the ability to incorporate insights into our research, manufacturing and clinical development efforts.</w:t>
      </w:r>
    </w:p>
    <w:p>
      <w:pPr>
        <w:spacing w:after="0" w:line="83" w:lineRule="exact"/>
        <w:rPr>
          <w:rFonts w:ascii="Times New Roman" w:cs="Times New Roman" w:eastAsia="Times New Roman" w:hAnsi="Times New Roman"/>
          <w:sz w:val="17"/>
          <w:szCs w:val="17"/>
          <w:color w:val="auto"/>
        </w:rPr>
      </w:pPr>
    </w:p>
    <w:p>
      <w:pPr>
        <w:ind w:left="640" w:right="200" w:hanging="316"/>
        <w:spacing w:after="0" w:line="262"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Generate, secure and defend intellectual property on our differentiated technology platforms and product candidates </w:t>
      </w:r>
      <w:r>
        <w:rPr>
          <w:rFonts w:ascii="Times New Roman" w:cs="Times New Roman" w:eastAsia="Times New Roman" w:hAnsi="Times New Roman"/>
          <w:sz w:val="18"/>
          <w:szCs w:val="18"/>
          <w:color w:val="auto"/>
        </w:rPr>
        <w:t>— We have developed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secured intellectual property, including know-how, through our internal research efforts, licensing agreements and collaborations. We rigorously analyze, file and protect our intellectual property in an ongoing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5342255</wp:posOffset>
            </wp:positionH>
            <wp:positionV relativeFrom="paragraph">
              <wp:posOffset>-3261360</wp:posOffset>
            </wp:positionV>
            <wp:extent cx="62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865" cy="38735"/>
                    </a:xfrm>
                    <a:prstGeom prst="rect">
                      <a:avLst/>
                    </a:prstGeom>
                    <a:noFill/>
                  </pic:spPr>
                </pic:pic>
              </a:graphicData>
            </a:graphic>
          </wp:anchor>
        </w:drawing>
        <w:drawing>
          <wp:anchor simplePos="0" relativeHeight="251657728" behindDoc="1" locked="0" layoutInCell="0" allowOverlap="1">
            <wp:simplePos x="0" y="0"/>
            <wp:positionH relativeFrom="column">
              <wp:posOffset>1618615</wp:posOffset>
            </wp:positionH>
            <wp:positionV relativeFrom="paragraph">
              <wp:posOffset>-1780540</wp:posOffset>
            </wp:positionV>
            <wp:extent cx="62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865" cy="3873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-1780540</wp:posOffset>
            </wp:positionV>
            <wp:extent cx="62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865" cy="38735"/>
                    </a:xfrm>
                    <a:prstGeom prst="rect">
                      <a:avLst/>
                    </a:prstGeom>
                    <a:noFill/>
                  </pic:spPr>
                </pic:pic>
              </a:graphicData>
            </a:graphic>
          </wp:anchor>
        </w:drawing>
        <w:drawing>
          <wp:anchor simplePos="0" relativeHeight="251657728" behindDoc="1" locked="0" layoutInCell="0" allowOverlap="1">
            <wp:simplePos x="0" y="0"/>
            <wp:positionH relativeFrom="column">
              <wp:posOffset>1939290</wp:posOffset>
            </wp:positionH>
            <wp:positionV relativeFrom="paragraph">
              <wp:posOffset>-1780540</wp:posOffset>
            </wp:positionV>
            <wp:extent cx="62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865" cy="3873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Reprogramming Technologies</w:t>
      </w:r>
    </w:p>
    <w:p>
      <w:pPr>
        <w:spacing w:after="0" w:line="113" w:lineRule="exact"/>
        <w:rPr>
          <w:sz w:val="20"/>
          <w:szCs w:val="20"/>
          <w:color w:val="auto"/>
        </w:rPr>
      </w:pPr>
    </w:p>
    <w:p>
      <w:pPr>
        <w:ind w:right="260" w:firstLine="636"/>
        <w:spacing w:after="0" w:line="217" w:lineRule="exact"/>
        <w:rPr>
          <w:sz w:val="20"/>
          <w:szCs w:val="20"/>
          <w:color w:val="auto"/>
        </w:rPr>
      </w:pPr>
      <w:r>
        <w:rPr>
          <w:rFonts w:ascii="Times New Roman" w:cs="Times New Roman" w:eastAsia="Times New Roman" w:hAnsi="Times New Roman"/>
          <w:sz w:val="18"/>
          <w:szCs w:val="18"/>
          <w:color w:val="auto"/>
        </w:rPr>
        <w:t xml:space="preserve">Cell therapy has demonstrated profound results in some patients suffering from hematologic malignancies, but solid tumors are more complex and have evolved multiple mechanisms to evade and ultimately resist clearance by the immune system. This has limited the use of cell therapy in solid tumors. Based on clinical data and other scientific evidence, we believe </w:t>
      </w:r>
      <w:r>
        <w:rPr>
          <w:rFonts w:ascii="Times New Roman" w:cs="Times New Roman" w:eastAsia="Times New Roman" w:hAnsi="Times New Roman"/>
          <w:sz w:val="18"/>
          <w:szCs w:val="18"/>
          <w:b w:val="1"/>
          <w:bCs w:val="1"/>
          <w:color w:val="auto"/>
        </w:rPr>
        <w:t>T</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cell exhaustion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lack of durable stemness</w:t>
      </w:r>
      <w:r>
        <w:rPr>
          <w:rFonts w:ascii="Times New Roman" w:cs="Times New Roman" w:eastAsia="Times New Roman" w:hAnsi="Times New Roman"/>
          <w:sz w:val="18"/>
          <w:szCs w:val="18"/>
          <w:color w:val="auto"/>
        </w:rPr>
        <w:t>, which include the ability of T cells to persist and self-renew to drive durable tumor cytotoxicity, are two apical barriers limiting the efficacy of cell therapy in solid tumors.</w:t>
      </w:r>
    </w:p>
    <w:p>
      <w:pPr>
        <w:spacing w:after="0" w:line="88" w:lineRule="exact"/>
        <w:rPr>
          <w:sz w:val="20"/>
          <w:szCs w:val="20"/>
          <w:color w:val="auto"/>
        </w:rPr>
      </w:pPr>
    </w:p>
    <w:p>
      <w:pPr>
        <w:ind w:right="60" w:firstLine="636"/>
        <w:spacing w:after="0" w:line="255" w:lineRule="auto"/>
        <w:rPr>
          <w:sz w:val="20"/>
          <w:szCs w:val="20"/>
          <w:color w:val="auto"/>
        </w:rPr>
      </w:pPr>
      <w:r>
        <w:rPr>
          <w:rFonts w:ascii="Times New Roman" w:cs="Times New Roman" w:eastAsia="Times New Roman" w:hAnsi="Times New Roman"/>
          <w:sz w:val="18"/>
          <w:szCs w:val="18"/>
          <w:color w:val="auto"/>
        </w:rPr>
        <w:t>We have developed proprietary, stackable genetic and epigenetic reprogramming technologies to address these two major barriers. Our reprogramming technologies are designed to generate potent T cells with durable cytotoxic function, irrespective of target and irrespective of whether they are delivered as CAR, TIL or TCR therapies. We have generated T cells that have demonstrated in nonclinical studies the ability to sustain cancer cell killing in murine models of solid tumors and an increased ability to maintain stemness to drive more durable tumor cytotoxicity.</w:t>
      </w:r>
    </w:p>
    <w:p>
      <w:pPr>
        <w:spacing w:after="0" w:line="46" w:lineRule="exact"/>
        <w:rPr>
          <w:sz w:val="20"/>
          <w:szCs w:val="20"/>
          <w:color w:val="auto"/>
        </w:rPr>
      </w:pPr>
    </w:p>
    <w:p>
      <w:pPr>
        <w:ind w:right="280" w:firstLine="636"/>
        <w:spacing w:after="0" w:line="218" w:lineRule="exact"/>
        <w:rPr>
          <w:sz w:val="20"/>
          <w:szCs w:val="20"/>
          <w:color w:val="auto"/>
        </w:rPr>
      </w:pPr>
      <w:r>
        <w:rPr>
          <w:rFonts w:ascii="Times New Roman" w:cs="Times New Roman" w:eastAsia="Times New Roman" w:hAnsi="Times New Roman"/>
          <w:sz w:val="18"/>
          <w:szCs w:val="18"/>
          <w:b w:val="1"/>
          <w:bCs w:val="1"/>
          <w:color w:val="auto"/>
        </w:rPr>
        <w:t>T</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cell exhaustion </w:t>
      </w:r>
      <w:r>
        <w:rPr>
          <w:rFonts w:ascii="Times New Roman" w:cs="Times New Roman" w:eastAsia="Times New Roman" w:hAnsi="Times New Roman"/>
          <w:sz w:val="18"/>
          <w:szCs w:val="18"/>
          <w:color w:val="auto"/>
        </w:rPr>
        <w:t>describes a dysfunctional cellular state characterized by increased expression of cell surface markers such as PD-1, TIM-3,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LAG-3, and importantly the functional inability to respond to antigen and elimination of target cells. A clinical study previously conducted by one of our founders, Stanley Riddell, M.D., Professor in Immunology, Burke O’Reilly Family Endowed Chair in Immunotherapy, Fred Hutchinson Cancer Center, illustrated the different fates of CAR T cells in solid tumors versus hematologic malignancies and identified T-cell exhaustion as a key barrier to successful cell therapy in the solid tumor microenvironment. In this study, conceptually depicted in Figure 1, autologous ROR1-targeted CAR T cells infused into patients with chronic lymphocytic leukemia underwent rapid expansion and retained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effector functions, leading to tumor cell clearance and clinical responses. However, when CAR T cells generated with the same method are infused into patients with solid tumor such as triple-negative breast cancer (TNBC) or non-small cell lung cancer (NSCLC), these T cells often failed to expand adequately, rapidly developed</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00"/>
        <w:spacing w:after="0" w:line="236" w:lineRule="exact"/>
        <w:rPr>
          <w:sz w:val="20"/>
          <w:szCs w:val="20"/>
          <w:color w:val="auto"/>
        </w:rPr>
      </w:pPr>
      <w:r>
        <w:rPr>
          <w:rFonts w:ascii="Times New Roman" w:cs="Times New Roman" w:eastAsia="Times New Roman" w:hAnsi="Times New Roman"/>
          <w:sz w:val="18"/>
          <w:szCs w:val="18"/>
          <w:color w:val="auto"/>
        </w:rPr>
        <w:t>cell surface markers of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exhaustion and adopted a dysfunctional state. The outcome of these studies clearly demonstrated that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exhaustion is a major barrier to successful cell therapy in solid tumors.</w:t>
      </w:r>
    </w:p>
    <w:p>
      <w:pPr>
        <w:spacing w:after="0" w:line="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Figure 1: </w:t>
      </w:r>
      <w:r>
        <w:rPr>
          <w:rFonts w:ascii="Times New Roman" w:cs="Times New Roman" w:eastAsia="Times New Roman" w:hAnsi="Times New Roman"/>
          <w:sz w:val="18"/>
          <w:szCs w:val="18"/>
          <w:color w:val="auto"/>
        </w:rPr>
        <w:t>Solid tumors drive T cells down a path to exhaustion.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83185</wp:posOffset>
            </wp:positionV>
            <wp:extent cx="4627880" cy="2254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27880" cy="225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320" w:firstLine="636"/>
        <w:spacing w:after="0" w:line="217" w:lineRule="exact"/>
        <w:rPr>
          <w:sz w:val="20"/>
          <w:szCs w:val="20"/>
          <w:color w:val="auto"/>
        </w:rPr>
      </w:pPr>
      <w:r>
        <w:rPr>
          <w:rFonts w:ascii="Times New Roman" w:cs="Times New Roman" w:eastAsia="Times New Roman" w:hAnsi="Times New Roman"/>
          <w:sz w:val="17"/>
          <w:szCs w:val="17"/>
          <w:b w:val="1"/>
          <w:bCs w:val="1"/>
          <w:color w:val="auto"/>
        </w:rPr>
        <w:t xml:space="preserve">Durable stemness </w:t>
      </w:r>
      <w:r>
        <w:rPr>
          <w:rFonts w:ascii="Times New Roman" w:cs="Times New Roman" w:eastAsia="Times New Roman" w:hAnsi="Times New Roman"/>
          <w:sz w:val="17"/>
          <w:szCs w:val="17"/>
          <w:color w:val="auto"/>
        </w:rPr>
        <w:t>describes the quality of a population of T cells to persist through self-renewal, as well as generate differentiated effector cell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progenies to provide durable tumor cytotoxicity. Emerging research has shown that effective immunotherapy requires 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cell populations with stem</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like characteristics to produce clinical responses, where the presence of stem-like T cells correlates with solid tumor responses to cancer immunotherapy in the setting of solid tumors, including TIL and immune checkpoint blockade therapy (Sade-Feldman et al., </w:t>
      </w:r>
      <w:r>
        <w:rPr>
          <w:rFonts w:ascii="Times New Roman" w:cs="Times New Roman" w:eastAsia="Times New Roman" w:hAnsi="Times New Roman"/>
          <w:sz w:val="17"/>
          <w:szCs w:val="17"/>
          <w:i w:val="1"/>
          <w:iCs w:val="1"/>
          <w:color w:val="auto"/>
        </w:rPr>
        <w:t>Cell</w:t>
      </w:r>
      <w:r>
        <w:rPr>
          <w:rFonts w:ascii="Times New Roman" w:cs="Times New Roman" w:eastAsia="Times New Roman" w:hAnsi="Times New Roman"/>
          <w:sz w:val="17"/>
          <w:szCs w:val="17"/>
          <w:color w:val="auto"/>
        </w:rPr>
        <w:t xml:space="preserve">, Nov. 2018; Krishna et al., </w:t>
      </w:r>
      <w:r>
        <w:rPr>
          <w:rFonts w:ascii="Times New Roman" w:cs="Times New Roman" w:eastAsia="Times New Roman" w:hAnsi="Times New Roman"/>
          <w:sz w:val="17"/>
          <w:szCs w:val="17"/>
          <w:i w:val="1"/>
          <w:iCs w:val="1"/>
          <w:color w:val="auto"/>
        </w:rPr>
        <w:t>Science</w:t>
      </w:r>
      <w:r>
        <w:rPr>
          <w:rFonts w:ascii="Times New Roman" w:cs="Times New Roman" w:eastAsia="Times New Roman" w:hAnsi="Times New Roman"/>
          <w:sz w:val="17"/>
          <w:szCs w:val="17"/>
          <w:color w:val="auto"/>
        </w:rPr>
        <w:t>, Dec. 2020)</w:t>
      </w:r>
    </w:p>
    <w:p>
      <w:pPr>
        <w:spacing w:after="0" w:line="61" w:lineRule="exact"/>
        <w:rPr>
          <w:sz w:val="20"/>
          <w:szCs w:val="20"/>
          <w:color w:val="auto"/>
        </w:rPr>
      </w:pPr>
    </w:p>
    <w:p>
      <w:pPr>
        <w:ind w:right="20" w:firstLine="636"/>
        <w:spacing w:after="0" w:line="234" w:lineRule="exact"/>
        <w:rPr>
          <w:sz w:val="20"/>
          <w:szCs w:val="20"/>
          <w:color w:val="auto"/>
        </w:rPr>
      </w:pPr>
      <w:r>
        <w:rPr>
          <w:rFonts w:ascii="Times New Roman" w:cs="Times New Roman" w:eastAsia="Times New Roman" w:hAnsi="Times New Roman"/>
          <w:sz w:val="17"/>
          <w:szCs w:val="17"/>
          <w:b w:val="1"/>
          <w:bCs w:val="1"/>
          <w:i w:val="1"/>
          <w:iCs w:val="1"/>
          <w:color w:val="auto"/>
        </w:rPr>
        <w:t>Genetic reprogramming technologies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two proprietary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ex vivo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genetic reprogramming technologies are c</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Jun overexpression and NR4A3 gene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knockout. c-Jun and NR4A3 are involved in the regulation of the activator protein 1 (AP-1) transcription factor pathway, which plays a key role in 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cell effector function. These complementary reprogramming technologies function within this critical biological pathway to endow resistance to 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cell exhaustion.</w:t>
      </w:r>
    </w:p>
    <w:p>
      <w:pPr>
        <w:spacing w:after="0" w:line="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Overexpression of c-Jun is based on the work of Lyell co-founder, Crystal Mackall, M.D., the Ernest and Amelia Gallo Family Professor of</w:t>
      </w:r>
    </w:p>
    <w:p>
      <w:pPr>
        <w:spacing w:after="0" w:line="24" w:lineRule="exact"/>
        <w:rPr>
          <w:sz w:val="20"/>
          <w:szCs w:val="20"/>
          <w:color w:val="auto"/>
        </w:rPr>
      </w:pPr>
    </w:p>
    <w:p>
      <w:pPr>
        <w:spacing w:after="0" w:line="221" w:lineRule="exact"/>
        <w:rPr>
          <w:sz w:val="20"/>
          <w:szCs w:val="20"/>
          <w:color w:val="auto"/>
        </w:rPr>
      </w:pPr>
      <w:r>
        <w:rPr>
          <w:rFonts w:ascii="Times New Roman" w:cs="Times New Roman" w:eastAsia="Times New Roman" w:hAnsi="Times New Roman"/>
          <w:sz w:val="17"/>
          <w:szCs w:val="17"/>
          <w:color w:val="auto"/>
        </w:rPr>
        <w:t>Pediatrics and Medicine at Stanford University and Founding Director of the Stanford Center for Cancer Cell Therapy. Dr. Mackall discovered that exhausted T cells have an imbalance in the AP</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 family of transcription factors, and that correcting for this imbalance by overexpression of c-Jun enables T cells to resist</w:t>
      </w:r>
    </w:p>
    <w:p>
      <w:pPr>
        <w:spacing w:after="0" w:line="1" w:lineRule="exact"/>
        <w:rPr>
          <w:sz w:val="20"/>
          <w:szCs w:val="20"/>
          <w:color w:val="auto"/>
        </w:rPr>
      </w:pPr>
    </w:p>
    <w:p>
      <w:pPr>
        <w:ind w:right="1200"/>
        <w:spacing w:after="0" w:line="276" w:lineRule="auto"/>
        <w:rPr>
          <w:sz w:val="20"/>
          <w:szCs w:val="20"/>
          <w:color w:val="auto"/>
        </w:rPr>
      </w:pPr>
      <w:r>
        <w:rPr>
          <w:rFonts w:ascii="Times New Roman" w:cs="Times New Roman" w:eastAsia="Times New Roman" w:hAnsi="Times New Roman"/>
          <w:sz w:val="18"/>
          <w:szCs w:val="18"/>
          <w:color w:val="auto"/>
        </w:rPr>
        <w:t xml:space="preserve">exhaustion, infiltrate solid tumors and maintain their functionality and potency. This work was fully described in a </w:t>
      </w:r>
      <w:r>
        <w:rPr>
          <w:rFonts w:ascii="Times New Roman" w:cs="Times New Roman" w:eastAsia="Times New Roman" w:hAnsi="Times New Roman"/>
          <w:sz w:val="18"/>
          <w:szCs w:val="18"/>
          <w:i w:val="1"/>
          <w:iCs w:val="1"/>
          <w:color w:val="auto"/>
        </w:rPr>
        <w:t>Nature</w:t>
      </w:r>
      <w:r>
        <w:rPr>
          <w:rFonts w:ascii="Times New Roman" w:cs="Times New Roman" w:eastAsia="Times New Roman" w:hAnsi="Times New Roman"/>
          <w:sz w:val="18"/>
          <w:szCs w:val="18"/>
          <w:color w:val="auto"/>
        </w:rPr>
        <w:t xml:space="preserve"> publication in 2019 (Lynn et al., </w:t>
      </w:r>
      <w:r>
        <w:rPr>
          <w:rFonts w:ascii="Times New Roman" w:cs="Times New Roman" w:eastAsia="Times New Roman" w:hAnsi="Times New Roman"/>
          <w:sz w:val="18"/>
          <w:szCs w:val="18"/>
          <w:i w:val="1"/>
          <w:iCs w:val="1"/>
          <w:color w:val="auto"/>
        </w:rPr>
        <w:t>Nature</w:t>
      </w:r>
      <w:r>
        <w:rPr>
          <w:rFonts w:ascii="Times New Roman" w:cs="Times New Roman" w:eastAsia="Times New Roman" w:hAnsi="Times New Roman"/>
          <w:sz w:val="18"/>
          <w:szCs w:val="18"/>
          <w:color w:val="auto"/>
        </w:rPr>
        <w:t>, Dec. 2019).</w:t>
      </w:r>
    </w:p>
    <w:p>
      <w:pPr>
        <w:spacing w:after="0" w:line="56" w:lineRule="exact"/>
        <w:rPr>
          <w:sz w:val="20"/>
          <w:szCs w:val="20"/>
          <w:color w:val="auto"/>
        </w:rPr>
      </w:pPr>
    </w:p>
    <w:p>
      <w:pPr>
        <w:ind w:right="100" w:firstLine="636"/>
        <w:spacing w:after="0" w:line="215" w:lineRule="exact"/>
        <w:rPr>
          <w:sz w:val="20"/>
          <w:szCs w:val="20"/>
          <w:color w:val="auto"/>
        </w:rPr>
      </w:pPr>
      <w:r>
        <w:rPr>
          <w:rFonts w:ascii="Times New Roman" w:cs="Times New Roman" w:eastAsia="Times New Roman" w:hAnsi="Times New Roman"/>
          <w:sz w:val="18"/>
          <w:szCs w:val="18"/>
          <w:color w:val="auto"/>
        </w:rPr>
        <w:t>Our second genetic reprogramming technology, NR4A3 gene knockout, builds on the approach of reprogramming of the AP-1 transcription factor pathway to delay exhaustion and improve antitumor function. We and others have previously observed that the NR4A family of transcription factors is upregulated in exhausted T cells and may contribute to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exhaustion in part by restricting the activity of AP-1. We hypothesize that disruption of NR4A3 expression, along with c-Jun overexpression, can further unleash the potential for maximal c-Jun activity and endow greater functional resistance to exhaustion. Our nonclinical data suggest the combination of these two technologies, NR4A3 gene knockout and c-Jun overexpression, can act in a complementary fashion and have the potential to further improve the potency and durability of our CAR therapy.</w:t>
      </w:r>
    </w:p>
    <w:p>
      <w:pPr>
        <w:spacing w:after="0" w:line="101" w:lineRule="exact"/>
        <w:rPr>
          <w:sz w:val="20"/>
          <w:szCs w:val="20"/>
          <w:color w:val="auto"/>
        </w:rPr>
      </w:pPr>
    </w:p>
    <w:p>
      <w:pPr>
        <w:ind w:right="220" w:firstLine="636"/>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 xml:space="preserve">Epigenetic reprogramming technologies: </w:t>
      </w:r>
      <w:r>
        <w:rPr>
          <w:rFonts w:ascii="Times New Roman" w:cs="Times New Roman" w:eastAsia="Times New Roman" w:hAnsi="Times New Roman"/>
          <w:sz w:val="18"/>
          <w:szCs w:val="18"/>
          <w:color w:val="auto"/>
        </w:rPr>
        <w:t>Our two proprietary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epigenetic reprogramming technologies are Epi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and Stim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These novel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manufacturing technologies generate product candidates with more stem-like cells and with greater potency during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expansion.</w:t>
      </w:r>
    </w:p>
    <w:p>
      <w:pPr>
        <w:spacing w:after="0" w:line="40" w:lineRule="exact"/>
        <w:rPr>
          <w:sz w:val="20"/>
          <w:szCs w:val="20"/>
          <w:color w:val="auto"/>
        </w:rPr>
      </w:pPr>
    </w:p>
    <w:p>
      <w:pPr>
        <w:jc w:val="both"/>
        <w:ind w:right="340" w:firstLine="636"/>
        <w:spacing w:after="0" w:line="224" w:lineRule="exact"/>
        <w:rPr>
          <w:sz w:val="20"/>
          <w:szCs w:val="20"/>
          <w:color w:val="auto"/>
        </w:rPr>
      </w:pPr>
      <w:r>
        <w:rPr>
          <w:rFonts w:ascii="Times New Roman" w:cs="Times New Roman" w:eastAsia="Times New Roman" w:hAnsi="Times New Roman"/>
          <w:sz w:val="18"/>
          <w:szCs w:val="18"/>
          <w:color w:val="auto"/>
        </w:rPr>
        <w:t>Epi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R is our proprietary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epigenetic reprogramming technology that intentionally and reproducibly generates a population of T cells with durable stemness. T cells with properties of durable stemness have an increased ability to self-renew and persist to drive durable tumor cytotoxicity. This technology is built upon the groundbreaking science conducted at the National Cancer Institute (NCI), where it was demonstrated that products with more stem-like and functional T cells can be achieved by altering the metabolic state of the cells during expansion</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60"/>
        <w:spacing w:after="0" w:line="214" w:lineRule="exact"/>
        <w:rPr>
          <w:sz w:val="20"/>
          <w:szCs w:val="20"/>
          <w:color w:val="auto"/>
        </w:rPr>
      </w:pPr>
      <w:r>
        <w:rPr>
          <w:rFonts w:ascii="Times New Roman" w:cs="Times New Roman" w:eastAsia="Times New Roman" w:hAnsi="Times New Roman"/>
          <w:sz w:val="18"/>
          <w:szCs w:val="18"/>
          <w:color w:val="auto"/>
        </w:rPr>
        <w:t xml:space="preserve">(Vodnala et al., </w:t>
      </w:r>
      <w:r>
        <w:rPr>
          <w:rFonts w:ascii="Times New Roman" w:cs="Times New Roman" w:eastAsia="Times New Roman" w:hAnsi="Times New Roman"/>
          <w:sz w:val="18"/>
          <w:szCs w:val="18"/>
          <w:i w:val="1"/>
          <w:iCs w:val="1"/>
          <w:color w:val="auto"/>
        </w:rPr>
        <w:t>Science</w:t>
      </w:r>
      <w:r>
        <w:rPr>
          <w:rFonts w:ascii="Times New Roman" w:cs="Times New Roman" w:eastAsia="Times New Roman" w:hAnsi="Times New Roman"/>
          <w:sz w:val="18"/>
          <w:szCs w:val="18"/>
          <w:color w:val="auto"/>
        </w:rPr>
        <w:t>, Mar. 2019). Key NCI scientists conducting this research subsequently joined Lyell where they advanced this research substantially to create the Epi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manufacturing protocol, which intentionally produces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populations with desirable stem-like properties that can be measured both phenotypically and functionally. This novel Epi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protocol includes proprietary media, well-defined cell activation and expansion processes, as well as customized cytokine combinations. Lyell’s Epi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protocol enables manufacturing of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therapy product candidates that are highly potent against cancer cells but also retain characteristics of stemness, which have been clinically associated with effective antitumor immunotherapies (Figure 2). Furthermore, relating specifically to TIL, the application of Epi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has generated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populations that exhibit a high degree of polyclonality, i.e., the retention of a broad repertoire of TCR clonotypes that may react to a broader set of tumor antigens, thus improving the potential of our TIL therapy to counteract the heterogeneous nature of solid tumors. Additionally, we are able to reliably and reproducibly manufacture our TIL products from a variety of solid tumors, including those that have been traditionally hard to manufacture such as from checkpoint refractory malignant melanoma, NSCLC and colorectal cancer (CRC).</w:t>
      </w:r>
    </w:p>
    <w:p>
      <w:pPr>
        <w:spacing w:after="0" w:line="87" w:lineRule="exact"/>
        <w:rPr>
          <w:sz w:val="20"/>
          <w:szCs w:val="20"/>
          <w:color w:val="auto"/>
        </w:rPr>
      </w:pPr>
    </w:p>
    <w:p>
      <w:pPr>
        <w:ind w:left="640" w:right="180"/>
        <w:spacing w:after="0" w:line="276" w:lineRule="auto"/>
        <w:rPr>
          <w:sz w:val="20"/>
          <w:szCs w:val="20"/>
          <w:color w:val="auto"/>
        </w:rPr>
      </w:pPr>
      <w:r>
        <w:rPr>
          <w:rFonts w:ascii="Times New Roman" w:cs="Times New Roman" w:eastAsia="Times New Roman" w:hAnsi="Times New Roman"/>
          <w:sz w:val="18"/>
          <w:szCs w:val="18"/>
          <w:b w:val="1"/>
          <w:bCs w:val="1"/>
          <w:color w:val="auto"/>
        </w:rPr>
        <w:t>Figure 2</w:t>
      </w:r>
      <w:r>
        <w:rPr>
          <w:rFonts w:ascii="Times New Roman" w:cs="Times New Roman" w:eastAsia="Times New Roman" w:hAnsi="Times New Roman"/>
          <w:sz w:val="18"/>
          <w:szCs w:val="18"/>
          <w:color w:val="auto"/>
        </w:rPr>
        <w:t>: Lyell’s proprietary Epi-R protocol produces T-cell populations with long-lived stem-like characteristics. This protocol is used in both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LYL797 CAR T cell product candidate and in our LYL845 TIL product candidate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1888490</wp:posOffset>
            </wp:positionH>
            <wp:positionV relativeFrom="paragraph">
              <wp:posOffset>46990</wp:posOffset>
            </wp:positionV>
            <wp:extent cx="3702050" cy="2625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02050" cy="262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120" w:firstLine="636"/>
        <w:spacing w:after="0" w:line="223" w:lineRule="exact"/>
        <w:rPr>
          <w:sz w:val="20"/>
          <w:szCs w:val="20"/>
          <w:color w:val="auto"/>
        </w:rPr>
      </w:pPr>
      <w:r>
        <w:rPr>
          <w:rFonts w:ascii="Times New Roman" w:cs="Times New Roman" w:eastAsia="Times New Roman" w:hAnsi="Times New Roman"/>
          <w:sz w:val="18"/>
          <w:szCs w:val="18"/>
          <w:color w:val="auto"/>
        </w:rPr>
        <w:t>Our second epigenetic reprogramming technology, Stim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is a proprietary synthetic cell mimetic that mediates more precise and natural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activation in the manufacturing process. Current manufacturing platforms typically utilize antibody-conjugated beads that were developed decades ago for expanding T cells. This standard approach does not provide precise control over the strength or duration of the signaling that drives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cell expansion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Our Stim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platform optimizes signaling parameters during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activation using degradable lipid-coated silica rods that can be functionalized to regulate cell activation more closely mimicking natural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stimulation. This technology allows for greater control over the duration, intensity and type of signals delivered during cell expansion and manufacturing, resulting in the generation of more potent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products.</w:t>
      </w:r>
    </w:p>
    <w:p>
      <w:pPr>
        <w:spacing w:after="0" w:line="43" w:lineRule="exact"/>
        <w:rPr>
          <w:sz w:val="20"/>
          <w:szCs w:val="20"/>
          <w:color w:val="auto"/>
        </w:rPr>
      </w:pPr>
    </w:p>
    <w:p>
      <w:pPr>
        <w:ind w:firstLine="636"/>
        <w:spacing w:after="0" w:line="225" w:lineRule="exact"/>
        <w:rPr>
          <w:sz w:val="20"/>
          <w:szCs w:val="20"/>
          <w:color w:val="auto"/>
        </w:rPr>
      </w:pPr>
      <w:r>
        <w:rPr>
          <w:rFonts w:ascii="Times New Roman" w:cs="Times New Roman" w:eastAsia="Times New Roman" w:hAnsi="Times New Roman"/>
          <w:sz w:val="17"/>
          <w:szCs w:val="17"/>
          <w:b w:val="1"/>
          <w:bCs w:val="1"/>
          <w:i w:val="1"/>
          <w:iCs w:val="1"/>
          <w:color w:val="auto"/>
        </w:rPr>
        <w:t>T</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cell rejuvenation technologies: </w:t>
      </w:r>
      <w:r>
        <w:rPr>
          <w:rFonts w:ascii="Times New Roman" w:cs="Times New Roman" w:eastAsia="Times New Roman" w:hAnsi="Times New Roman"/>
          <w:sz w:val="17"/>
          <w:szCs w:val="17"/>
          <w:color w:val="auto"/>
        </w:rPr>
        <w:t>We and others have documented the impact of aging on 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cell function, which begins to decline after puberty,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at an increasingly accelerated rate after age 65. Morbidity and mortality from cancer also increase with age. Thus, we are working to advance another novel reprogramming technology that focuses on rejuvenation of antitumor T cells. We are developing a method to maintain 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cell identity while reducing the epigenetic age of the cells. This technology is currently in the research stage. We have generated data illustrating the ability to “turn back” the epigenetic clock in a process called cellular rejuvenation, without changing the 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cell’s identity as would occur in the setting of induced pluripotent stem cell-derived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-635000</wp:posOffset>
            </wp:positionV>
            <wp:extent cx="62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865" cy="3873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 Programs</w:t>
      </w:r>
    </w:p>
    <w:p>
      <w:pPr>
        <w:spacing w:after="0" w:line="100" w:lineRule="exact"/>
        <w:rPr>
          <w:sz w:val="20"/>
          <w:szCs w:val="20"/>
          <w:color w:val="auto"/>
        </w:rPr>
      </w:pPr>
    </w:p>
    <w:p>
      <w:pPr>
        <w:ind w:right="100" w:firstLine="636"/>
        <w:spacing w:after="0" w:line="244" w:lineRule="auto"/>
        <w:rPr>
          <w:sz w:val="20"/>
          <w:szCs w:val="20"/>
          <w:color w:val="auto"/>
        </w:rPr>
      </w:pPr>
      <w:r>
        <w:rPr>
          <w:rFonts w:ascii="Times New Roman" w:cs="Times New Roman" w:eastAsia="Times New Roman" w:hAnsi="Times New Roman"/>
          <w:sz w:val="18"/>
          <w:szCs w:val="18"/>
          <w:color w:val="auto"/>
        </w:rPr>
        <w:t>We are advancing a diverse pipeline of CAR T cell and TIL product candidates that incorporate our stackable reprogramming technologies designed to generate potent T cells with durable cytotoxic function, irrespective of target and irrespective of whether they are delivered as CAR T, TIL or TCR T therapies. Each of our programs currently target</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580"/>
        <w:spacing w:after="0" w:line="258" w:lineRule="auto"/>
        <w:rPr>
          <w:sz w:val="20"/>
          <w:szCs w:val="20"/>
          <w:color w:val="auto"/>
        </w:rPr>
      </w:pPr>
      <w:r>
        <w:rPr>
          <w:rFonts w:ascii="Times New Roman" w:cs="Times New Roman" w:eastAsia="Times New Roman" w:hAnsi="Times New Roman"/>
          <w:sz w:val="18"/>
          <w:szCs w:val="18"/>
          <w:color w:val="auto"/>
        </w:rPr>
        <w:t>cancers with large unmet need and provide opportunity to expand into additional indications. We have deployed our technologies in our pipeline in the following manner to provide rapid clinical proof-of-concept (Table 1):</w:t>
      </w:r>
    </w:p>
    <w:p>
      <w:pPr>
        <w:spacing w:after="0" w:line="43" w:lineRule="exact"/>
        <w:rPr>
          <w:sz w:val="20"/>
          <w:szCs w:val="20"/>
          <w:color w:val="auto"/>
        </w:rPr>
      </w:pPr>
    </w:p>
    <w:p>
      <w:pPr>
        <w:ind w:left="640" w:right="1160" w:hanging="316"/>
        <w:spacing w:after="0" w:line="236" w:lineRule="exact"/>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LYL797 incorporates our c-Jun and Epi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technologies and is undergoing evaluation in a Phase 1 clinical trial enrolling patients with relapsed/refractory TNBC or NSCLC.</w:t>
      </w:r>
    </w:p>
    <w:p>
      <w:pPr>
        <w:spacing w:after="0" w:line="59" w:lineRule="exact"/>
        <w:rPr>
          <w:rFonts w:ascii="Times New Roman" w:cs="Times New Roman" w:eastAsia="Times New Roman" w:hAnsi="Times New Roman"/>
          <w:sz w:val="18"/>
          <w:szCs w:val="18"/>
          <w:color w:val="auto"/>
        </w:rPr>
      </w:pPr>
    </w:p>
    <w:p>
      <w:pPr>
        <w:ind w:left="640" w:hanging="316"/>
        <w:spacing w:after="0" w:line="207" w:lineRule="exact"/>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LYL119 incorporates our c-Jun, NR4A3, Epi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and Stim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technologies and is currently in preclinical development.</w:t>
      </w:r>
    </w:p>
    <w:p>
      <w:pPr>
        <w:spacing w:after="0" w:line="111" w:lineRule="exact"/>
        <w:rPr>
          <w:rFonts w:ascii="Times New Roman" w:cs="Times New Roman" w:eastAsia="Times New Roman" w:hAnsi="Times New Roman"/>
          <w:sz w:val="18"/>
          <w:szCs w:val="18"/>
          <w:color w:val="auto"/>
        </w:rPr>
      </w:pPr>
    </w:p>
    <w:p>
      <w:pPr>
        <w:ind w:left="640" w:right="420" w:hanging="316"/>
        <w:spacing w:after="0" w:line="236" w:lineRule="exact"/>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LYL845 incorporates our Epi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technology and is undergoing evaluation in a Phase 1 clinical trial including patients with advanced melanoma, relapsed/refractory NSCLC or CRC.</w:t>
      </w:r>
    </w:p>
    <w:p>
      <w:pPr>
        <w:spacing w:after="0" w:line="59" w:lineRule="exact"/>
        <w:rPr>
          <w:sz w:val="20"/>
          <w:szCs w:val="20"/>
          <w:color w:val="auto"/>
        </w:rPr>
      </w:pPr>
    </w:p>
    <w:p>
      <w:pPr>
        <w:ind w:right="100" w:firstLine="636"/>
        <w:spacing w:after="0" w:line="236" w:lineRule="exact"/>
        <w:rPr>
          <w:sz w:val="20"/>
          <w:szCs w:val="20"/>
          <w:color w:val="auto"/>
        </w:rPr>
      </w:pPr>
      <w:r>
        <w:rPr>
          <w:rFonts w:ascii="Times New Roman" w:cs="Times New Roman" w:eastAsia="Times New Roman" w:hAnsi="Times New Roman"/>
          <w:sz w:val="18"/>
          <w:szCs w:val="18"/>
          <w:b w:val="1"/>
          <w:bCs w:val="1"/>
          <w:i w:val="1"/>
          <w:iCs w:val="1"/>
          <w:color w:val="auto"/>
        </w:rPr>
        <w:t>LYL797: A genetically and epigenetically reprogrammed ROR1 CAR T</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cell product candidate designed for differentiated potency and durability targeting multiple solid tumor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3684905</wp:posOffset>
            </wp:positionH>
            <wp:positionV relativeFrom="paragraph">
              <wp:posOffset>-220345</wp:posOffset>
            </wp:positionV>
            <wp:extent cx="62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865" cy="38735"/>
                    </a:xfrm>
                    <a:prstGeom prst="rect">
                      <a:avLst/>
                    </a:prstGeom>
                    <a:noFill/>
                  </pic:spPr>
                </pic:pic>
              </a:graphicData>
            </a:graphic>
          </wp:anchor>
        </w:drawing>
      </w:r>
    </w:p>
    <w:p>
      <w:pPr>
        <w:spacing w:after="0" w:line="39" w:lineRule="exact"/>
        <w:rPr>
          <w:sz w:val="20"/>
          <w:szCs w:val="20"/>
          <w:color w:val="auto"/>
        </w:rPr>
      </w:pPr>
    </w:p>
    <w:p>
      <w:pPr>
        <w:ind w:firstLine="636"/>
        <w:spacing w:after="0" w:line="220" w:lineRule="exact"/>
        <w:rPr>
          <w:sz w:val="20"/>
          <w:szCs w:val="20"/>
          <w:color w:val="auto"/>
        </w:rPr>
      </w:pPr>
      <w:r>
        <w:rPr>
          <w:rFonts w:ascii="Times New Roman" w:cs="Times New Roman" w:eastAsia="Times New Roman" w:hAnsi="Times New Roman"/>
          <w:sz w:val="18"/>
          <w:szCs w:val="18"/>
          <w:color w:val="auto"/>
        </w:rPr>
        <w:t>We are applying our c-Jun and Epi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technologies to our lead CAR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product candidate, LYL797, which is expected to be an intravenously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administered CAR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product targeting the receptor tyrosine kinase-like orphan receptor 1 (ROR1) protein. ROR1 is a fetal protein expressed during embryogenesis and is believed to be important in cell migration, polarity and survival. It is expressed in several cancer types, including TNBC, NSCLC, ovarian cancer and chronic lymphocytic leukemia, and is generally associated with a poor prognosis. LYL797 (Figure 3) contains a CAR with a 4-1BB/CD3ζ intracellular domain, a transmembrane domain, an optimized spacer domain and a single-chain variable fragment (scFv) derived from an R12 rabbit monoclonal antibody that recognizes and binds with high specificity to human ROR1. LYL797 also incorporates c-Jun and a proprietary optimized truncated version of human EGFR (EGFR</w:t>
      </w:r>
      <w:r>
        <w:rPr>
          <w:rFonts w:ascii="Times New Roman" w:cs="Times New Roman" w:eastAsia="Times New Roman" w:hAnsi="Times New Roman"/>
          <w:sz w:val="22"/>
          <w:szCs w:val="22"/>
          <w:color w:val="auto"/>
          <w:vertAlign w:val="subscript"/>
        </w:rPr>
        <w:t>opt</w:t>
      </w:r>
      <w:r>
        <w:rPr>
          <w:rFonts w:ascii="Times New Roman" w:cs="Times New Roman" w:eastAsia="Times New Roman" w:hAnsi="Times New Roman"/>
          <w:sz w:val="18"/>
          <w:szCs w:val="18"/>
          <w:color w:val="auto"/>
        </w:rPr>
        <w:t>) used for tracking the CAR T cells in the peripheral blood post treatment and can also be used as a safety measure with the administration of cetuximab, if needed. LYL797 is manufactured utilizing our proprietary Epi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technology.</w:t>
      </w:r>
    </w:p>
    <w:p>
      <w:pPr>
        <w:spacing w:after="0" w:line="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Figure 3: </w:t>
      </w:r>
      <w:r>
        <w:rPr>
          <w:rFonts w:ascii="Times New Roman" w:cs="Times New Roman" w:eastAsia="Times New Roman" w:hAnsi="Times New Roman"/>
          <w:sz w:val="18"/>
          <w:szCs w:val="18"/>
          <w:color w:val="auto"/>
        </w:rPr>
        <w:t>LYL797 construct.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83185</wp:posOffset>
            </wp:positionV>
            <wp:extent cx="2776220" cy="2372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76220" cy="2372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1 Clinical Trial</w:t>
      </w:r>
    </w:p>
    <w:p>
      <w:pPr>
        <w:spacing w:after="0" w:line="113" w:lineRule="exact"/>
        <w:rPr>
          <w:sz w:val="20"/>
          <w:szCs w:val="20"/>
          <w:color w:val="auto"/>
        </w:rPr>
      </w:pPr>
    </w:p>
    <w:p>
      <w:pPr>
        <w:ind w:right="40" w:firstLine="636"/>
        <w:spacing w:after="0" w:line="274" w:lineRule="auto"/>
        <w:rPr>
          <w:sz w:val="20"/>
          <w:szCs w:val="20"/>
          <w:color w:val="auto"/>
        </w:rPr>
      </w:pPr>
      <w:r>
        <w:rPr>
          <w:rFonts w:ascii="Times New Roman" w:cs="Times New Roman" w:eastAsia="Times New Roman" w:hAnsi="Times New Roman"/>
          <w:sz w:val="18"/>
          <w:szCs w:val="18"/>
          <w:color w:val="auto"/>
        </w:rPr>
        <w:t>Our Phase 1 clinical trial (NCT05274451) is designed to evaluate the safety and antitumor activity of LYL797 in patients with ROR1-positive TNBC or NSCLC.</w:t>
      </w:r>
    </w:p>
    <w:p>
      <w:pPr>
        <w:spacing w:after="0" w:line="57" w:lineRule="exact"/>
        <w:rPr>
          <w:sz w:val="20"/>
          <w:szCs w:val="20"/>
          <w:color w:val="auto"/>
        </w:rPr>
      </w:pPr>
    </w:p>
    <w:p>
      <w:pPr>
        <w:ind w:firstLine="636"/>
        <w:spacing w:after="0" w:line="218" w:lineRule="exact"/>
        <w:rPr>
          <w:sz w:val="20"/>
          <w:szCs w:val="20"/>
          <w:color w:val="auto"/>
        </w:rPr>
      </w:pPr>
      <w:r>
        <w:rPr>
          <w:rFonts w:ascii="Times New Roman" w:cs="Times New Roman" w:eastAsia="Times New Roman" w:hAnsi="Times New Roman"/>
          <w:sz w:val="18"/>
          <w:szCs w:val="18"/>
          <w:color w:val="auto"/>
        </w:rPr>
        <w:t>The trial is designed as an open label, dose escalation and expansion trial in patients with relapsed/refractory TNBC who have failed at least two lines of therapy and patients with relapsed/refractory NSCLC who have failed at least one line of therapy. Per protocol, dose expansion at the recommended dose identified during dose escalation is expected to occur in at least 15 patients with TNBC and 15 patients with NSCLC. The primary outcome measure assesses the safety and tolerability of LYL797. Patients will be monitored for cytokine release syndrome (CRS) and immune effector cell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associated neurotoxicity syndrome, as well as tissue-specific toxicities in ROR1-expressing organs. Secondary outcome measures include clinical activity based on the evaluation of antitumor activity as evaluated by Response Evaluation Criteria in Solid Tumors (RECIST) criteria and characterization of the pharmacokinetic profile of LYL797. Exploratory biomarkers of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function – exhaustion and stemness – will also be assessed.</w:t>
      </w:r>
    </w:p>
    <w:p>
      <w:pPr>
        <w:spacing w:after="0" w:line="69" w:lineRule="exact"/>
        <w:rPr>
          <w:sz w:val="20"/>
          <w:szCs w:val="20"/>
          <w:color w:val="auto"/>
        </w:rPr>
      </w:pPr>
    </w:p>
    <w:p>
      <w:pPr>
        <w:ind w:right="320" w:firstLine="636"/>
        <w:spacing w:after="0" w:line="274" w:lineRule="auto"/>
        <w:rPr>
          <w:sz w:val="20"/>
          <w:szCs w:val="20"/>
          <w:color w:val="auto"/>
        </w:rPr>
      </w:pPr>
      <w:r>
        <w:rPr>
          <w:rFonts w:ascii="Times New Roman" w:cs="Times New Roman" w:eastAsia="Times New Roman" w:hAnsi="Times New Roman"/>
          <w:sz w:val="18"/>
          <w:szCs w:val="18"/>
          <w:color w:val="auto"/>
        </w:rPr>
        <w:t>We plan to share initial data from the trial when we have a meaningful number of patients and an indication of clinical effect, which we expect to occur in the first half of 2024.</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Target Indications</w:t>
      </w:r>
    </w:p>
    <w:p>
      <w:pPr>
        <w:spacing w:after="0" w:line="113" w:lineRule="exact"/>
        <w:rPr>
          <w:sz w:val="20"/>
          <w:szCs w:val="20"/>
          <w:color w:val="auto"/>
        </w:rPr>
      </w:pPr>
    </w:p>
    <w:p>
      <w:pPr>
        <w:ind w:firstLine="636"/>
        <w:spacing w:after="0" w:line="217" w:lineRule="exact"/>
        <w:rPr>
          <w:sz w:val="20"/>
          <w:szCs w:val="20"/>
          <w:color w:val="auto"/>
        </w:rPr>
      </w:pPr>
      <w:r>
        <w:rPr>
          <w:rFonts w:ascii="Times New Roman" w:cs="Times New Roman" w:eastAsia="Times New Roman" w:hAnsi="Times New Roman"/>
          <w:sz w:val="18"/>
          <w:szCs w:val="18"/>
          <w:color w:val="auto"/>
        </w:rPr>
        <w:t>We are initially developing LYL797 for the treatment of ROR1-positive TNBC and NSCLC. Significant subsets of patients with common cancers express ROR1, including TNBC (~60%) and NSCLC (~40%), two of the highest ROR1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expressing solid tumor indications. If successful, we may expand into other ROR1-positive cancers with a lower incidence of ROR1 expression, including potentially hormone-receptor positive breast cancer, ovarian and other solid tumors.</w:t>
      </w:r>
    </w:p>
    <w:p>
      <w:pPr>
        <w:spacing w:after="0" w:line="88" w:lineRule="exact"/>
        <w:rPr>
          <w:sz w:val="20"/>
          <w:szCs w:val="20"/>
          <w:color w:val="auto"/>
        </w:rPr>
      </w:pPr>
    </w:p>
    <w:p>
      <w:pPr>
        <w:ind w:right="40" w:firstLine="636"/>
        <w:spacing w:after="0" w:line="248" w:lineRule="auto"/>
        <w:rPr>
          <w:sz w:val="20"/>
          <w:szCs w:val="20"/>
          <w:color w:val="auto"/>
        </w:rPr>
      </w:pPr>
      <w:r>
        <w:rPr>
          <w:rFonts w:ascii="Times New Roman" w:cs="Times New Roman" w:eastAsia="Times New Roman" w:hAnsi="Times New Roman"/>
          <w:sz w:val="18"/>
          <w:szCs w:val="18"/>
          <w:color w:val="auto"/>
        </w:rPr>
        <w:t>Breast cancer is the second most common cancer in American women. Currently, the average risk for a woman in the United States to develop breast cancer is approximately 13%. Breast cancers that demonstrate the absence of estrogen receptor and progesterone receptor and no overexpression of HER2 are referred to as TNBC. Approximately 10-15% of patients with breast cancer have TNBC and triple negative status tends to be more common in women younger than age 40, who are African American or who have a BRCA1 mutation. TNBCs have a high tendency to metastasize, and patients are at a higher risk to relapse compared to other molecular types. TNBCs differ from other types of invasive breast cancer in that TNBC tumors grow and spread faster, have limited treatment options and have a worse prognosis. In the United States, there are approximately 40,000 new cases of TNBC annually and approximately 22% of breast cancer deaths are from TNBC. Once TNBC has spread to distant parts of the body, the 5-year survival rate is only 11.5% despite currently available treatment options. Available treatments include surgery, neoadjuvant and adjuvant chemotherapy such as capecitabine or gemcitabine, taxanes, anthracyclines and eribulin, check-point inhibitors such as pembrolizumab, and poly ADP ribose polymerase or PARP inhibitors such as olaparib and talazoparib. At recurrence, the antibody-drug conjugate sacituzumab govitecan-hziy may be prescribed.</w:t>
      </w:r>
    </w:p>
    <w:p>
      <w:pPr>
        <w:spacing w:after="0" w:line="87" w:lineRule="exact"/>
        <w:rPr>
          <w:sz w:val="20"/>
          <w:szCs w:val="20"/>
          <w:color w:val="auto"/>
        </w:rPr>
      </w:pPr>
    </w:p>
    <w:p>
      <w:pPr>
        <w:ind w:right="40" w:firstLine="636"/>
        <w:spacing w:after="0" w:line="251" w:lineRule="auto"/>
        <w:rPr>
          <w:sz w:val="20"/>
          <w:szCs w:val="20"/>
          <w:color w:val="auto"/>
        </w:rPr>
      </w:pPr>
      <w:r>
        <w:rPr>
          <w:rFonts w:ascii="Times New Roman" w:cs="Times New Roman" w:eastAsia="Times New Roman" w:hAnsi="Times New Roman"/>
          <w:sz w:val="18"/>
          <w:szCs w:val="18"/>
          <w:color w:val="auto"/>
        </w:rPr>
        <w:t>Lung cancer is the second most common cancer and is the leading cause of cancer mortality worldwide. NSCLC, defined as any type of epithelial lung cancer other than small-cell lung carcinoma, accounts for about 84% of all lung cancers. In 2016, the incidence of NSCLC varied widely, ranging from 3 to 57 per 100,000 in Africa and North America respectively, with ~2 million cases diagnosed globally. It is estimated that 110,000 deaths from this disease occurred in the United States in 2022. For people with localized NSCLC, the overall 5-year survival rate is ~61%. For regional NSCLC, the 5-year survival rate is ~35%. Based on current data, when cancer metastasizes, the 5-year survival rate is 6% despite surgery, radiation and treatment with multiple currently-approved therapies, including chemotherapy, immunotherapy and targeted drug therapy.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Nonclinical Data</w:t>
      </w:r>
    </w:p>
    <w:p>
      <w:pPr>
        <w:spacing w:after="0" w:line="111" w:lineRule="exact"/>
        <w:rPr>
          <w:sz w:val="20"/>
          <w:szCs w:val="20"/>
          <w:color w:val="auto"/>
        </w:rPr>
      </w:pPr>
    </w:p>
    <w:p>
      <w:pPr>
        <w:ind w:right="60" w:firstLine="636"/>
        <w:spacing w:after="0" w:line="215" w:lineRule="exact"/>
        <w:rPr>
          <w:sz w:val="20"/>
          <w:szCs w:val="20"/>
          <w:color w:val="auto"/>
        </w:rPr>
      </w:pPr>
      <w:r>
        <w:rPr>
          <w:rFonts w:ascii="Times New Roman" w:cs="Times New Roman" w:eastAsia="Times New Roman" w:hAnsi="Times New Roman"/>
          <w:sz w:val="18"/>
          <w:szCs w:val="18"/>
          <w:color w:val="auto"/>
        </w:rPr>
        <w:t xml:space="preserve">We have conducted extensive nonclinical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supporting development of LYL797. Nonclinical studies of ROR1 CAR T cells that overexpress c-Jun have demonstrated tumor reduction, enhanced cytokine production and tumor infiltration in an aggressive NSCLC syngeneic animal model (Figure 4). CAR T cells generated with our Epi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manufacturing protocol exhibit enhanced durability and cytotoxicity (Figure 5). Additionally, in a nonclinical xenograft tumor model, LYL797, combining c-Jun overexpression and Epi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demonstrated prolonged survival in a xenograft NSCLC animal model (Figure 6). During the past year, we have presented these and other nonclinical findings at scientific and medical conferences, including in April, at the American Association of Cancer Research Annual Meeting.</w:t>
      </w:r>
    </w:p>
    <w:p>
      <w:pPr>
        <w:spacing w:after="0" w:line="63" w:lineRule="exact"/>
        <w:rPr>
          <w:sz w:val="20"/>
          <w:szCs w:val="20"/>
          <w:color w:val="auto"/>
        </w:rPr>
      </w:pPr>
    </w:p>
    <w:p>
      <w:pPr>
        <w:ind w:right="20" w:firstLine="636"/>
        <w:spacing w:after="0" w:line="218" w:lineRule="exact"/>
        <w:rPr>
          <w:sz w:val="20"/>
          <w:szCs w:val="20"/>
          <w:color w:val="auto"/>
        </w:rPr>
      </w:pPr>
      <w:r>
        <w:rPr>
          <w:rFonts w:ascii="Times New Roman" w:cs="Times New Roman" w:eastAsia="Times New Roman" w:hAnsi="Times New Roman"/>
          <w:sz w:val="18"/>
          <w:szCs w:val="18"/>
          <w:color w:val="auto"/>
        </w:rPr>
        <w:t>Our scientific co-founder, Stanley Riddell, M.D., first tested the hypothesis that overexpression of c-Jun could improve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cell function in a rigorous solid tumor model of NSCLC (Figure 4). Riddell and colleagues utilized a transgenic mouse model with inducible oncogenic driver mutations KRASG12D and p53 deletion. Once triggered, these mice developed tumors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that recapitulate an immunosuppressive tumor microenvironment, akin to human NSCLC. Previous studies have shown that this aggressive tumor model does not respond to chemotherapy or PD-L1 immunotherapy. In our study, we observed that this aggressive tumor model is also resistant to treatment with ROR1 CAR T cells, just as was observed in treating human NSCLC with ROR1 CAR T cells. In contrast, tumor-bearing mice treated with ROR1 CAR T cells that overexpressed c-Jun demonstrated greater infiltration by the T cells into the tumor, enhanced function of those T cells and tumor regression or stabilization in 50% of the mice versus the 100% tumor progression observed in mice treated with ROR1 CAR without overexpression of c-Jun.</w:t>
      </w: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Figure 4</w:t>
      </w:r>
      <w:r>
        <w:rPr>
          <w:rFonts w:ascii="Times New Roman" w:cs="Times New Roman" w:eastAsia="Times New Roman" w:hAnsi="Times New Roman"/>
          <w:sz w:val="18"/>
          <w:szCs w:val="18"/>
          <w:color w:val="auto"/>
        </w:rPr>
        <w:t>: Nonclinical efficacy demonstrated with c-Jun overexpressing ROR1 CAR T cells in aggressive NSCLC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83185</wp:posOffset>
            </wp:positionV>
            <wp:extent cx="5553075" cy="24904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53075" cy="2490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firstLine="636"/>
        <w:spacing w:after="0" w:line="219" w:lineRule="exact"/>
        <w:rPr>
          <w:sz w:val="20"/>
          <w:szCs w:val="20"/>
          <w:color w:val="auto"/>
        </w:rPr>
      </w:pPr>
      <w:r>
        <w:rPr>
          <w:rFonts w:ascii="Times New Roman" w:cs="Times New Roman" w:eastAsia="Times New Roman" w:hAnsi="Times New Roman"/>
          <w:sz w:val="18"/>
          <w:szCs w:val="18"/>
          <w:color w:val="auto"/>
        </w:rPr>
        <w:t>We have also demonstrated that CAR T cells generated with Epi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are able to kill tumor cells over time in an experiment where the CAR T cells are repeatedly challenged to kill tumor cells over multiple rounds (Figure 5). In this experiment, CAR T cells are co-cultured with ROR1-positive tumor cells, and tumor cell killing can be assessed and quantified by measurement of decreasing fluorescence. CAR T cells were repeatedly challenged with tumor cells over multiple rounds to assess the durability of tumor cell killing. Cells generated through standard expansion protocols gradually lose their functionality by the third round and are significantly less effective in killing tumor cells by the fourth round of tumor cell killing. In contrast, cells generated with the Epi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protocol continue to kill tumor cells. Importantly, the Epi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cells are no longer in the Epi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protocol, suggesting that the stem-like attribute derived from the epigenetic reprogramming is sustained after the manufacturing protocol and for the duration of the experiment.</w:t>
      </w:r>
    </w:p>
    <w:p>
      <w:pPr>
        <w:spacing w:after="0" w:line="63" w:lineRule="exact"/>
        <w:rPr>
          <w:sz w:val="20"/>
          <w:szCs w:val="20"/>
          <w:color w:val="auto"/>
        </w:rPr>
      </w:pPr>
    </w:p>
    <w:p>
      <w:pPr>
        <w:ind w:left="64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Figure 5: </w:t>
      </w:r>
      <w:r>
        <w:rPr>
          <w:rFonts w:ascii="Times New Roman" w:cs="Times New Roman" w:eastAsia="Times New Roman" w:hAnsi="Times New Roman"/>
          <w:sz w:val="18"/>
          <w:szCs w:val="18"/>
          <w:color w:val="auto"/>
        </w:rPr>
        <w:t>The Epi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protocol produces populations of T cells with durable cytotoxicity.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2486025</wp:posOffset>
            </wp:positionH>
            <wp:positionV relativeFrom="paragraph">
              <wp:posOffset>33020</wp:posOffset>
            </wp:positionV>
            <wp:extent cx="2574290" cy="1800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7429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firstLine="636"/>
        <w:spacing w:after="0" w:line="218" w:lineRule="exact"/>
        <w:rPr>
          <w:sz w:val="20"/>
          <w:szCs w:val="20"/>
          <w:color w:val="auto"/>
        </w:rPr>
      </w:pPr>
      <w:r>
        <w:rPr>
          <w:rFonts w:ascii="Times New Roman" w:cs="Times New Roman" w:eastAsia="Times New Roman" w:hAnsi="Times New Roman"/>
          <w:sz w:val="18"/>
          <w:szCs w:val="18"/>
          <w:color w:val="auto"/>
        </w:rPr>
        <w:t xml:space="preserve">In May, at the American Society of Gene and Cell Therapy Annual Meeting, we presented a study that assessed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functional activity of LYL797 (ROR1 CAR T cells with c-Jun and Epi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compared to conventional ROR1 CAR T cells in an established human ROR1-positive H1975 mouse xenograft model. In this study, LYL797 demonstrated improved expansion in the peripheral blood of tumor-bearing animals and control of tumor growth, which led to prolonged survival (Figure 6).</w:t>
      </w:r>
    </w:p>
    <w:p>
      <w:pPr>
        <w:spacing w:after="0" w:line="87" w:lineRule="exact"/>
        <w:rPr>
          <w:sz w:val="20"/>
          <w:szCs w:val="20"/>
          <w:color w:val="auto"/>
        </w:rPr>
      </w:pPr>
    </w:p>
    <w:p>
      <w:pPr>
        <w:ind w:right="180" w:firstLine="636"/>
        <w:spacing w:after="0" w:line="274" w:lineRule="auto"/>
        <w:rPr>
          <w:sz w:val="20"/>
          <w:szCs w:val="20"/>
          <w:color w:val="auto"/>
        </w:rPr>
      </w:pPr>
      <w:r>
        <w:rPr>
          <w:rFonts w:ascii="Times New Roman" w:cs="Times New Roman" w:eastAsia="Times New Roman" w:hAnsi="Times New Roman"/>
          <w:sz w:val="18"/>
          <w:szCs w:val="18"/>
          <w:color w:val="auto"/>
        </w:rPr>
        <w:t>Taken together, these nonclinical data characterize LYL797 and demonstrate that ROR1-targeted CAR T cells reprogrammed with c-Jun and Epi-R can overcome barriers of T-cell exhaustion and lack of durable stemness.</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Figure 6</w:t>
      </w:r>
      <w:r>
        <w:rPr>
          <w:rFonts w:ascii="Times New Roman" w:cs="Times New Roman" w:eastAsia="Times New Roman" w:hAnsi="Times New Roman"/>
          <w:sz w:val="18"/>
          <w:szCs w:val="18"/>
          <w:color w:val="auto"/>
        </w:rPr>
        <w:t>: LYL797 prolongs survival in NSCLC (H1975) xenograft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83185</wp:posOffset>
            </wp:positionV>
            <wp:extent cx="3702050" cy="15227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702050" cy="1522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40" w:firstLine="636"/>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LYL845: A novel epigenetically reprogrammed TIL product candidate designed for differentiated potency and durability targeting multiple solid tumor indications.</w:t>
      </w:r>
    </w:p>
    <w:p>
      <w:pPr>
        <w:spacing w:after="0" w:line="26" w:lineRule="exact"/>
        <w:rPr>
          <w:sz w:val="20"/>
          <w:szCs w:val="20"/>
          <w:color w:val="auto"/>
        </w:rPr>
      </w:pPr>
    </w:p>
    <w:p>
      <w:pPr>
        <w:ind w:right="260" w:firstLine="636"/>
        <w:spacing w:after="0" w:line="228" w:lineRule="exact"/>
        <w:rPr>
          <w:sz w:val="20"/>
          <w:szCs w:val="20"/>
          <w:color w:val="auto"/>
        </w:rPr>
      </w:pPr>
      <w:r>
        <w:rPr>
          <w:rFonts w:ascii="Times New Roman" w:cs="Times New Roman" w:eastAsia="Times New Roman" w:hAnsi="Times New Roman"/>
          <w:sz w:val="18"/>
          <w:szCs w:val="18"/>
          <w:color w:val="auto"/>
        </w:rPr>
        <w:t>We are applying our epigenetic reprogramming technology, Epi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to develop LYL845, which is expected to be an intravenously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administered autologous TIL therapy for multiple solid tumors. Our Epi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protocol comprises proprietary media, optimized cytokine compositions and well-defined cell activation and expansion protocols used during our manufacturing process.</w:t>
      </w:r>
    </w:p>
    <w:p>
      <w:pPr>
        <w:spacing w:after="0" w:line="87" w:lineRule="exact"/>
        <w:rPr>
          <w:sz w:val="20"/>
          <w:szCs w:val="20"/>
          <w:color w:val="auto"/>
        </w:rPr>
      </w:pPr>
    </w:p>
    <w:p>
      <w:pPr>
        <w:ind w:right="120" w:firstLine="636"/>
        <w:spacing w:after="0" w:line="284" w:lineRule="auto"/>
        <w:rPr>
          <w:sz w:val="20"/>
          <w:szCs w:val="20"/>
          <w:color w:val="auto"/>
        </w:rPr>
      </w:pPr>
      <w:r>
        <w:rPr>
          <w:rFonts w:ascii="Times New Roman" w:cs="Times New Roman" w:eastAsia="Times New Roman" w:hAnsi="Times New Roman"/>
          <w:sz w:val="17"/>
          <w:szCs w:val="17"/>
          <w:color w:val="auto"/>
        </w:rPr>
        <w:t>TIL have previously shown clinical benefit in patients with advanced melanoma and other solid tumors with high mutational burden. Published data from third-party TIL trials show that treating metastatic melanoma patients with TIL can result in complete and durable responses. Response rates to TIL</w:t>
      </w:r>
    </w:p>
    <w:p>
      <w:pPr>
        <w:spacing w:after="0" w:line="1" w:lineRule="exact"/>
        <w:rPr>
          <w:sz w:val="20"/>
          <w:szCs w:val="20"/>
          <w:color w:val="auto"/>
        </w:rPr>
      </w:pPr>
    </w:p>
    <w:p>
      <w:pPr>
        <w:ind w:right="60"/>
        <w:spacing w:after="0" w:line="216" w:lineRule="exact"/>
        <w:rPr>
          <w:sz w:val="20"/>
          <w:szCs w:val="20"/>
          <w:color w:val="auto"/>
        </w:rPr>
      </w:pPr>
      <w:r>
        <w:rPr>
          <w:rFonts w:ascii="Times New Roman" w:cs="Times New Roman" w:eastAsia="Times New Roman" w:hAnsi="Times New Roman"/>
          <w:sz w:val="18"/>
          <w:szCs w:val="18"/>
          <w:color w:val="auto"/>
        </w:rPr>
        <w:t>therapy in patients with other advanced solid tumors such as lung, colorectal and breast are much lower than that observed in advanced melanoma. Broad TIL efficacy has been limited by poor enrichment of tumor-reactive T cells and the poor quality and limited growth potential of expanded T cells. Failure to maintain polyclonality of TIL during production may also limit their ability to eradicate cancer cells given the inherent heterogeneous nature of solid tumors. LYL845 incorporates our Epi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technology that has shown promising improvements in enhancing T-cell potency, antitumor activity and increased polyclonality of TIL in nonclinical experiments.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1 Clinical Trial</w:t>
      </w:r>
    </w:p>
    <w:p>
      <w:pPr>
        <w:spacing w:after="0" w:line="113" w:lineRule="exact"/>
        <w:rPr>
          <w:sz w:val="20"/>
          <w:szCs w:val="20"/>
          <w:color w:val="auto"/>
        </w:rPr>
      </w:pPr>
    </w:p>
    <w:p>
      <w:pPr>
        <w:ind w:right="160" w:firstLine="636"/>
        <w:spacing w:after="0" w:line="274" w:lineRule="auto"/>
        <w:rPr>
          <w:sz w:val="20"/>
          <w:szCs w:val="20"/>
          <w:color w:val="auto"/>
        </w:rPr>
      </w:pPr>
      <w:r>
        <w:rPr>
          <w:rFonts w:ascii="Times New Roman" w:cs="Times New Roman" w:eastAsia="Times New Roman" w:hAnsi="Times New Roman"/>
          <w:sz w:val="18"/>
          <w:szCs w:val="18"/>
          <w:color w:val="auto"/>
        </w:rPr>
        <w:t>Our Phase 1 clinical trial (NCT05573035) is designed to evaluate the safety and antitumor activity of LYL845 in patients with advanced melanoma, NSCLC and CRC. If successful, we expect to expand into additional indications.</w:t>
      </w:r>
    </w:p>
    <w:p>
      <w:pPr>
        <w:spacing w:after="0" w:line="57" w:lineRule="exact"/>
        <w:rPr>
          <w:sz w:val="20"/>
          <w:szCs w:val="20"/>
          <w:color w:val="auto"/>
        </w:rPr>
      </w:pPr>
    </w:p>
    <w:p>
      <w:pPr>
        <w:ind w:right="240" w:firstLine="636"/>
        <w:spacing w:after="0" w:line="251" w:lineRule="auto"/>
        <w:rPr>
          <w:sz w:val="20"/>
          <w:szCs w:val="20"/>
          <w:color w:val="auto"/>
        </w:rPr>
      </w:pPr>
      <w:r>
        <w:rPr>
          <w:rFonts w:ascii="Times New Roman" w:cs="Times New Roman" w:eastAsia="Times New Roman" w:hAnsi="Times New Roman"/>
          <w:sz w:val="18"/>
          <w:szCs w:val="18"/>
          <w:color w:val="auto"/>
        </w:rPr>
        <w:t>The trial is designed as an open label, dose escalation and expansion trial in patients with relapsed and/or refractory metastatic or locally advanced solid tumors. Per protocol, dose expansion at the recommended dose identified during dose escalation is expected to occur in at least 15 patients with advanced melanoma, 15 patients with NSCLC and 15 patients with CRC. The primary outcome measure assesses the safety and tolerability of LYL845. Secondary outcome measures include clinical activity based on the evaluation of antitumor activity as evaluated by RECIST criteria and characterization of the pharmacokinetic profile of LYL845. Evaluation of T-cell expansion, phenotype, clonal diversity and persistence will also be assessed. Patients will be monitored for CRS and auto-immunity.</w:t>
      </w:r>
    </w:p>
    <w:p>
      <w:pPr>
        <w:spacing w:after="0" w:line="79" w:lineRule="exact"/>
        <w:rPr>
          <w:sz w:val="20"/>
          <w:szCs w:val="20"/>
          <w:color w:val="auto"/>
        </w:rPr>
      </w:pPr>
    </w:p>
    <w:p>
      <w:pPr>
        <w:ind w:right="340" w:firstLine="636"/>
        <w:spacing w:after="0" w:line="274" w:lineRule="auto"/>
        <w:rPr>
          <w:sz w:val="20"/>
          <w:szCs w:val="20"/>
          <w:color w:val="auto"/>
        </w:rPr>
      </w:pPr>
      <w:r>
        <w:rPr>
          <w:rFonts w:ascii="Times New Roman" w:cs="Times New Roman" w:eastAsia="Times New Roman" w:hAnsi="Times New Roman"/>
          <w:sz w:val="18"/>
          <w:szCs w:val="18"/>
          <w:color w:val="auto"/>
        </w:rPr>
        <w:t>We plan to share initial data from the trial when we have a meaningful number of patients and an indication of clinical effect, which we expect to occur in 2024.</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Target Indications</w:t>
      </w:r>
    </w:p>
    <w:p>
      <w:pPr>
        <w:spacing w:after="0" w:line="113" w:lineRule="exact"/>
        <w:rPr>
          <w:sz w:val="20"/>
          <w:szCs w:val="20"/>
          <w:color w:val="auto"/>
        </w:rPr>
      </w:pPr>
    </w:p>
    <w:p>
      <w:pPr>
        <w:ind w:right="60" w:firstLine="636"/>
        <w:spacing w:after="0" w:line="251" w:lineRule="auto"/>
        <w:rPr>
          <w:sz w:val="20"/>
          <w:szCs w:val="20"/>
          <w:color w:val="auto"/>
        </w:rPr>
      </w:pPr>
      <w:r>
        <w:rPr>
          <w:rFonts w:ascii="Times New Roman" w:cs="Times New Roman" w:eastAsia="Times New Roman" w:hAnsi="Times New Roman"/>
          <w:sz w:val="18"/>
          <w:szCs w:val="18"/>
          <w:color w:val="auto"/>
        </w:rPr>
        <w:t>We are initially developing LYL845 for advanced melanoma, NSCLC and CRC. Based on our success with those, we plan to include patients with other solid tumors, potentially including head and neck, cervical, breast and pancreatic cancer. Although patients with these cancers may benefit initially from radiation therapy, chemotherapy, surgery, and more advanced alternatives such as checkpoint therapies, immunotherapies or targeted therapies, most patients with these types of cancers eventually relapse. After becoming resistant to initial lines of therapy, patients are limited to palliative care, experimental therapies in clinical trials or chemotherapy regimens that are often highly toxic and largely ineffective. Overall, despite recent advances in therapeutic development, for most patients diagnosed with advanced solid tumors, long-term survival rates remain low.</w:t>
      </w:r>
    </w:p>
    <w:p>
      <w:pPr>
        <w:spacing w:after="0" w:line="79" w:lineRule="exact"/>
        <w:rPr>
          <w:sz w:val="20"/>
          <w:szCs w:val="20"/>
          <w:color w:val="auto"/>
        </w:rPr>
      </w:pPr>
    </w:p>
    <w:p>
      <w:pPr>
        <w:ind w:firstLine="636"/>
        <w:spacing w:after="0" w:line="255" w:lineRule="auto"/>
        <w:rPr>
          <w:sz w:val="20"/>
          <w:szCs w:val="20"/>
          <w:color w:val="auto"/>
        </w:rPr>
      </w:pPr>
      <w:r>
        <w:rPr>
          <w:rFonts w:ascii="Times New Roman" w:cs="Times New Roman" w:eastAsia="Times New Roman" w:hAnsi="Times New Roman"/>
          <w:sz w:val="18"/>
          <w:szCs w:val="18"/>
          <w:color w:val="auto"/>
        </w:rPr>
        <w:t>Melanoma of the skin is among the most common cancers in the United States behind breast, prostate, lung and CRC. It is one of the most common cancers in young adults and especially in young women. It is estimated there are over 100,000 new cases of melanoma diagnosed in the United States per year. Melanoma arises due to genetic mutations in melanocytes, the pigment producing cells, which can be found in the skin, eye, inner ear and leptomeninges, and represents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the most aggressive and the deadliest form of skin cancer. Although melanoma accounts for only ~1% of all dermatologic cancers, it is responsible for ~80% of deaths from skin cancer. Only ~14% of patients with advanced melanoma survive for five years. Available treatment options include surgery, radiation therapy, immunotherapy (PD-1 inhibitors), chemotherapy and targeted therapies (MEK and BRAF inhibitors).</w:t>
      </w:r>
    </w:p>
    <w:p>
      <w:pPr>
        <w:spacing w:after="0" w:line="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description of NSCLC can be found above in the section describing the Phase 1 clinical trial for LYL797.</w:t>
      </w:r>
    </w:p>
    <w:p>
      <w:pPr>
        <w:spacing w:after="0" w:line="111" w:lineRule="exact"/>
        <w:rPr>
          <w:sz w:val="20"/>
          <w:szCs w:val="20"/>
          <w:color w:val="auto"/>
        </w:rPr>
      </w:pPr>
    </w:p>
    <w:p>
      <w:pPr>
        <w:ind w:firstLine="636"/>
        <w:spacing w:after="0" w:line="250" w:lineRule="auto"/>
        <w:rPr>
          <w:sz w:val="20"/>
          <w:szCs w:val="20"/>
          <w:color w:val="auto"/>
        </w:rPr>
      </w:pPr>
      <w:r>
        <w:rPr>
          <w:rFonts w:ascii="Times New Roman" w:cs="Times New Roman" w:eastAsia="Times New Roman" w:hAnsi="Times New Roman"/>
          <w:sz w:val="18"/>
          <w:szCs w:val="18"/>
          <w:color w:val="auto"/>
        </w:rPr>
        <w:t>Colorectal cancer is the third leading cause of cancer-related deaths in both men and women in the United States. Most colorectal cancers are a type of tumor called adenocarcinoma, which is cancer of the cells that line the inside tissue of the colon and rectum. In 2022, it was estimated that there were approximately 150,000 new cases of CRC in the United States with an estimated cause of approximately 53,000 deaths each year. For patients diagnosed with metastatic disease, the 5-year survival rate is 14%. Approximately 25% of patients have metastatic disease at diagnosis, and about 50% of patients with colorectal cancer will eventually develop metastases. Over 35% of the patients with a new diagnosis of CRC will die within five years. Currently available treatments include surgery, radiation therapy, chemotherapy, immunotherapy and targeted therapy (vascular endothelial growth factor, epidermal growth factor receptor, BRAF, NTRK, HER2 and kinase inhibitors).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Nonclinical Data</w:t>
      </w:r>
    </w:p>
    <w:p>
      <w:pPr>
        <w:spacing w:after="0" w:line="84" w:lineRule="exact"/>
        <w:rPr>
          <w:sz w:val="20"/>
          <w:szCs w:val="20"/>
          <w:color w:val="auto"/>
        </w:rPr>
      </w:pPr>
    </w:p>
    <w:p>
      <w:pPr>
        <w:ind w:right="40" w:firstLine="541"/>
        <w:spacing w:after="0" w:line="221" w:lineRule="exact"/>
        <w:rPr>
          <w:sz w:val="20"/>
          <w:szCs w:val="20"/>
          <w:color w:val="auto"/>
        </w:rPr>
      </w:pPr>
      <w:r>
        <w:rPr>
          <w:rFonts w:ascii="Times New Roman" w:cs="Times New Roman" w:eastAsia="Times New Roman" w:hAnsi="Times New Roman"/>
          <w:sz w:val="18"/>
          <w:szCs w:val="18"/>
          <w:color w:val="auto"/>
        </w:rPr>
        <w:t>We have conducted nonclinical studies supporting the development of LYL845. These studies have demonstrated that TIL generated with our Epi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technology have phenotypes (stemness markers and cytotoxic T cells) associated with clinical responses in published literature and preserved polyclonal tumor reactive cells. In addition, using Epi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allows us to expand TIL in not only immunologically hot tumors such as melanoma, but also immunologically colder tumors such as NSCLC and CRC. During the past year, we have presented these findings at scientific and medical conferences. These presentations are summarized below:</w:t>
      </w:r>
    </w:p>
    <w:p>
      <w:pPr>
        <w:spacing w:after="0" w:line="91" w:lineRule="exact"/>
        <w:rPr>
          <w:sz w:val="20"/>
          <w:szCs w:val="20"/>
          <w:color w:val="auto"/>
        </w:rPr>
      </w:pPr>
    </w:p>
    <w:p>
      <w:pPr>
        <w:ind w:right="40" w:firstLine="636"/>
        <w:spacing w:after="0" w:line="216" w:lineRule="exact"/>
        <w:rPr>
          <w:sz w:val="20"/>
          <w:szCs w:val="20"/>
          <w:color w:val="auto"/>
        </w:rPr>
      </w:pPr>
      <w:r>
        <w:rPr>
          <w:rFonts w:ascii="Times New Roman" w:cs="Times New Roman" w:eastAsia="Times New Roman" w:hAnsi="Times New Roman"/>
          <w:sz w:val="17"/>
          <w:szCs w:val="17"/>
          <w:color w:val="auto"/>
        </w:rPr>
        <w:t>In November, at the 2022 Annual Meeting of the Society for Immunotherapy of Cancer (SITC), we presented data that demonstrated the ability of our Epi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 technology to successfully and reliably expand TIL across three tumor types as compared to the standard (control) process. In this study, expanding TIL with Epi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 technology resulted in a 100% success rate (at least 10B cells) vs. 58% with control, including across twelve more difficult-to-expand tumor samples collected from checkpoint inhibitor refractory melanoma, NSCLC and CRC patients (Figure 7). Further, in this study Epi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 technology yielded a product (LYL845) with qualities that have been linked with antitumor functionality and improved outcomes in previous TIL clinical trials, including a greater proportion of CD8+ cytotoxic T cells and enrichment of T cells with stem-like profiles (Figure 8), and better metabolic fitness compared to control TIL.</w:t>
      </w:r>
    </w:p>
    <w:p>
      <w:pPr>
        <w:spacing w:after="0" w:line="59" w:lineRule="exact"/>
        <w:rPr>
          <w:sz w:val="20"/>
          <w:szCs w:val="20"/>
          <w:color w:val="auto"/>
        </w:rPr>
      </w:pPr>
    </w:p>
    <w:p>
      <w:pPr>
        <w:ind w:left="640"/>
        <w:spacing w:after="0" w:line="196" w:lineRule="exact"/>
        <w:rPr>
          <w:sz w:val="20"/>
          <w:szCs w:val="20"/>
          <w:color w:val="auto"/>
        </w:rPr>
      </w:pPr>
      <w:r>
        <w:rPr>
          <w:rFonts w:ascii="Times New Roman" w:cs="Times New Roman" w:eastAsia="Times New Roman" w:hAnsi="Times New Roman"/>
          <w:sz w:val="17"/>
          <w:szCs w:val="17"/>
          <w:b w:val="1"/>
          <w:bCs w:val="1"/>
          <w:color w:val="auto"/>
        </w:rPr>
        <w:t>Figure 7</w:t>
      </w:r>
      <w:r>
        <w:rPr>
          <w:rFonts w:ascii="Times New Roman" w:cs="Times New Roman" w:eastAsia="Times New Roman" w:hAnsi="Times New Roman"/>
          <w:sz w:val="17"/>
          <w:szCs w:val="17"/>
          <w:color w:val="auto"/>
        </w:rPr>
        <w:t>: Our Epi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 protocol more consistently successfully expands TIL from immunologically cold solid tumors vs. standard expansion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2174240</wp:posOffset>
            </wp:positionH>
            <wp:positionV relativeFrom="paragraph">
              <wp:posOffset>107315</wp:posOffset>
            </wp:positionV>
            <wp:extent cx="2801620" cy="22212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01620"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Figure 8</w:t>
      </w:r>
      <w:r>
        <w:rPr>
          <w:rFonts w:ascii="Times New Roman" w:cs="Times New Roman" w:eastAsia="Times New Roman" w:hAnsi="Times New Roman"/>
          <w:sz w:val="18"/>
          <w:szCs w:val="18"/>
          <w:color w:val="auto"/>
        </w:rPr>
        <w:t>: LYL845 is enriched for cells with characteristics associated with improved clinical outcomes (Krishna et 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1047115</wp:posOffset>
            </wp:positionH>
            <wp:positionV relativeFrom="paragraph">
              <wp:posOffset>83185</wp:posOffset>
            </wp:positionV>
            <wp:extent cx="5048250" cy="27425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48250" cy="2742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40" w:firstLine="636"/>
        <w:spacing w:after="0" w:line="215" w:lineRule="exact"/>
        <w:rPr>
          <w:sz w:val="20"/>
          <w:szCs w:val="20"/>
          <w:color w:val="auto"/>
        </w:rPr>
      </w:pPr>
      <w:r>
        <w:rPr>
          <w:rFonts w:ascii="Times New Roman" w:cs="Times New Roman" w:eastAsia="Times New Roman" w:hAnsi="Times New Roman"/>
          <w:sz w:val="18"/>
          <w:szCs w:val="18"/>
          <w:color w:val="auto"/>
        </w:rPr>
        <w:t>We also presented at the 2022 meeting of SITC comprehensive analyses of transcriptomic profiles, polyclonality and prediction of tumor reactive T cell clones in our LYL845 product candidate. In particular, our bioinformatic analyses demonstrated that LYL845 products expanded using Epi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technology at clinical scale were highly polyclonal and preserved approximately 94% of the predicted tumor reactive clones (Figure 9). Further, preserved putative tumor reactive clones in LYL845 products have increased stemness and reduced exhaustion-associated genes compared to TIL products derived from the standard process. Moreover, the tumor-specific reactivity of LYL845 was confirmed by demonstrating dose-dependent antitumor cytolytic activity and cytokine secretion in tumor cell specific co-culture assays.</w:t>
      </w:r>
    </w:p>
    <w:p>
      <w:pPr>
        <w:spacing w:after="0" w:line="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Figure 9</w:t>
      </w:r>
      <w:r>
        <w:rPr>
          <w:rFonts w:ascii="Times New Roman" w:cs="Times New Roman" w:eastAsia="Times New Roman" w:hAnsi="Times New Roman"/>
          <w:sz w:val="18"/>
          <w:szCs w:val="18"/>
          <w:color w:val="auto"/>
        </w:rPr>
        <w:t>: LYL845 TIL preserve ~94% of predicted tumor reactive clones to enable targeting of heterogeneous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83185</wp:posOffset>
            </wp:positionV>
            <wp:extent cx="5553075" cy="2506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53075" cy="2506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LYL119: An innovative ROR1 CAR T-cell product candidate designed for enhanced cytotoxicity.</w:t>
      </w:r>
    </w:p>
    <w:p>
      <w:pPr>
        <w:spacing w:after="0" w:line="115"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A key pillar of our strategy is to continually innovate to develop and advance novel, breakthrough technologies that address key barriers to successful cell therapy for solid tumors. We have advanced a new genetic reprogramming</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24" w:lineRule="exact"/>
        <w:rPr>
          <w:sz w:val="20"/>
          <w:szCs w:val="20"/>
          <w:color w:val="auto"/>
        </w:rPr>
      </w:pPr>
      <w:r>
        <w:rPr>
          <w:rFonts w:ascii="Times New Roman" w:cs="Times New Roman" w:eastAsia="Times New Roman" w:hAnsi="Times New Roman"/>
          <w:sz w:val="18"/>
          <w:szCs w:val="18"/>
          <w:color w:val="auto"/>
        </w:rPr>
        <w:t>technology, NR4A3 knockout, and a new epigenetic reprogramming technology, Stim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that are being applied in our new CAR T-cell product candidate, LYL119. These technologies are stackable and complementary to c-Jun and Epi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and are designed to further improve the antitumor potency and durability of T cells. LYL119 is being advanced with the goal of potentially creating even greater benefit for patients with ROR1-positive solid tumors. An IND application is expected to be submitted for LYL119 in the first half of 2024.</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Nonclinical Data</w:t>
      </w:r>
    </w:p>
    <w:p>
      <w:pPr>
        <w:spacing w:after="0" w:line="84" w:lineRule="exact"/>
        <w:rPr>
          <w:sz w:val="20"/>
          <w:szCs w:val="20"/>
          <w:color w:val="auto"/>
        </w:rPr>
      </w:pPr>
    </w:p>
    <w:p>
      <w:pPr>
        <w:ind w:right="120" w:firstLine="636"/>
        <w:spacing w:after="0" w:line="219" w:lineRule="exact"/>
        <w:rPr>
          <w:sz w:val="20"/>
          <w:szCs w:val="20"/>
          <w:color w:val="auto"/>
        </w:rPr>
      </w:pPr>
      <w:r>
        <w:rPr>
          <w:rFonts w:ascii="Times New Roman" w:cs="Times New Roman" w:eastAsia="Times New Roman" w:hAnsi="Times New Roman"/>
          <w:sz w:val="18"/>
          <w:szCs w:val="18"/>
          <w:color w:val="auto"/>
        </w:rPr>
        <w:t>In November at the 2022 meeting of SITC, we presented nonclinical data demonstrating that our NR4A3 knockout and Stim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R technologies further enhance survival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 a murine H1975 xenograft tumor model at a reduced CAR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dose. We presented data demonstrating that the combination of our two genetic reprogramming technologies, NR4A3 gene knockout and c-Jun overexpression, enhances the functional activity of ROR1 CAR T cells as shown by higher levels of cytokine production, increased CAR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cell persistence and reduced surface expression of inhibitory receptors after repetitive antigen stimulation, as well as significant improvement in tumor control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(Figure 10). In a separate abstract, we also presented nonclinical data demonstrating that Stim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generates potent CAR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cell products with increased cell proliferation and persistence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as well as improved tumor control (Figure 11).</w:t>
      </w:r>
    </w:p>
    <w:p>
      <w:pPr>
        <w:spacing w:after="0" w:line="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Figure 10: </w:t>
      </w:r>
      <w:r>
        <w:rPr>
          <w:rFonts w:ascii="Times New Roman" w:cs="Times New Roman" w:eastAsia="Times New Roman" w:hAnsi="Times New Roman"/>
          <w:sz w:val="18"/>
          <w:szCs w:val="18"/>
          <w:color w:val="auto"/>
        </w:rPr>
        <w:t>Combining c-Jun overexpression with NR4A3 knockout enables T cells to further resist exhaustion and prolongs survival.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2056765</wp:posOffset>
            </wp:positionH>
            <wp:positionV relativeFrom="paragraph">
              <wp:posOffset>83185</wp:posOffset>
            </wp:positionV>
            <wp:extent cx="3028950" cy="27006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28950" cy="270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spacing w:after="0" w:line="207" w:lineRule="exact"/>
        <w:rPr>
          <w:sz w:val="20"/>
          <w:szCs w:val="20"/>
          <w:color w:val="auto"/>
        </w:rPr>
      </w:pPr>
      <w:r>
        <w:rPr>
          <w:rFonts w:ascii="Times New Roman" w:cs="Times New Roman" w:eastAsia="Times New Roman" w:hAnsi="Times New Roman"/>
          <w:sz w:val="18"/>
          <w:szCs w:val="18"/>
          <w:b w:val="1"/>
          <w:bCs w:val="1"/>
          <w:color w:val="auto"/>
        </w:rPr>
        <w:t>Figure 11</w:t>
      </w:r>
      <w:r>
        <w:rPr>
          <w:rFonts w:ascii="Times New Roman" w:cs="Times New Roman" w:eastAsia="Times New Roman" w:hAnsi="Times New Roman"/>
          <w:sz w:val="18"/>
          <w:szCs w:val="18"/>
          <w:color w:val="auto"/>
        </w:rPr>
        <w:t>: Stim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ROR1 CAR T cells demonstrate improved potency and prolongs survival.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100330</wp:posOffset>
            </wp:positionV>
            <wp:extent cx="2776220" cy="26504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76220" cy="265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Manufacturing Capabilities</w:t>
      </w:r>
    </w:p>
    <w:p>
      <w:pPr>
        <w:spacing w:after="0" w:line="113" w:lineRule="exact"/>
        <w:rPr>
          <w:sz w:val="20"/>
          <w:szCs w:val="20"/>
          <w:color w:val="auto"/>
        </w:rPr>
      </w:pPr>
    </w:p>
    <w:p>
      <w:pPr>
        <w:ind w:firstLine="636"/>
        <w:spacing w:after="0" w:line="252" w:lineRule="auto"/>
        <w:rPr>
          <w:sz w:val="20"/>
          <w:szCs w:val="20"/>
          <w:color w:val="auto"/>
        </w:rPr>
      </w:pPr>
      <w:r>
        <w:rPr>
          <w:rFonts w:ascii="Times New Roman" w:cs="Times New Roman" w:eastAsia="Times New Roman" w:hAnsi="Times New Roman"/>
          <w:sz w:val="18"/>
          <w:szCs w:val="18"/>
          <w:color w:val="auto"/>
        </w:rPr>
        <w:t>We believe it is critically important to own, control and continuously monitor all aspects of the cell therapy manufacturing process to mitigate risks, including challenges in managing production, supply chain, patient specimen chain of custody and quality control. We made a strategic decision to invest in building our own manufacturing facility to control our supply chain, maximize efficiencies in cell product production time, optimize cost and quality, and have the ability to rapidly incorporate disruptive advancements and new innovations. Controlling manufacturing also enables us to protect proprietary aspects of our reprogramming technologies. We view our manufacturing team and capabilities as a significant competitive advantage.</w:t>
      </w:r>
    </w:p>
    <w:p>
      <w:pPr>
        <w:spacing w:after="0" w:line="79" w:lineRule="exact"/>
        <w:rPr>
          <w:sz w:val="20"/>
          <w:szCs w:val="20"/>
          <w:color w:val="auto"/>
        </w:rPr>
      </w:pPr>
    </w:p>
    <w:p>
      <w:pPr>
        <w:ind w:right="140" w:firstLine="636"/>
        <w:spacing w:after="0" w:line="252" w:lineRule="auto"/>
        <w:rPr>
          <w:sz w:val="20"/>
          <w:szCs w:val="20"/>
          <w:color w:val="auto"/>
        </w:rPr>
      </w:pPr>
      <w:r>
        <w:rPr>
          <w:rFonts w:ascii="Times New Roman" w:cs="Times New Roman" w:eastAsia="Times New Roman" w:hAnsi="Times New Roman"/>
          <w:sz w:val="18"/>
          <w:szCs w:val="18"/>
          <w:color w:val="auto"/>
        </w:rPr>
        <w:t>Our LyFE manufacturing center located in Bothell, Washington is approximately 73,000 square feet and is comprised of manufacturing suites, laboratories and offices. LyFE is commissioned and designed to be in compliance with U.S. and European Union cGMP standards and has a flexible and modular design enabling CAR T cell, TIL, TCR T cell and GMP viral vector production to control and de-risk the manufacturing sequence and timing of the major components of our supply chain. Owning our own facility encourages seamless collaboration across research, process development and manufacturing for high-quality reproducibility at manufacturing scale.</w:t>
      </w:r>
    </w:p>
    <w:p>
      <w:pPr>
        <w:spacing w:after="0" w:line="79" w:lineRule="exact"/>
        <w:rPr>
          <w:sz w:val="20"/>
          <w:szCs w:val="20"/>
          <w:color w:val="auto"/>
        </w:rPr>
      </w:pPr>
    </w:p>
    <w:p>
      <w:pPr>
        <w:ind w:right="40" w:firstLine="636"/>
        <w:spacing w:after="0" w:line="259" w:lineRule="auto"/>
        <w:rPr>
          <w:sz w:val="20"/>
          <w:szCs w:val="20"/>
          <w:color w:val="auto"/>
        </w:rPr>
      </w:pPr>
      <w:r>
        <w:rPr>
          <w:rFonts w:ascii="Times New Roman" w:cs="Times New Roman" w:eastAsia="Times New Roman" w:hAnsi="Times New Roman"/>
          <w:sz w:val="18"/>
          <w:szCs w:val="18"/>
          <w:color w:val="auto"/>
        </w:rPr>
        <w:t>We are currently producing clinical supply for our Phase 1 trials at LyFE. At full staffing and capacity, we expect to be able to manufacture approximately 500 infusions per year depending on product candidate mix. At this time, we believe this capacity is sufficient to support our pipeline programs into pivotal trials and, if approved, early commercialization.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3" w:lineRule="exact"/>
        <w:rPr>
          <w:sz w:val="20"/>
          <w:szCs w:val="20"/>
          <w:color w:val="auto"/>
        </w:rPr>
      </w:pPr>
    </w:p>
    <w:p>
      <w:pPr>
        <w:ind w:right="100" w:firstLine="636"/>
        <w:spacing w:after="0" w:line="271" w:lineRule="auto"/>
        <w:rPr>
          <w:sz w:val="20"/>
          <w:szCs w:val="20"/>
          <w:color w:val="auto"/>
        </w:rPr>
      </w:pPr>
      <w:r>
        <w:rPr>
          <w:rFonts w:ascii="Times New Roman" w:cs="Times New Roman" w:eastAsia="Times New Roman" w:hAnsi="Times New Roman"/>
          <w:sz w:val="17"/>
          <w:szCs w:val="17"/>
          <w:color w:val="auto"/>
        </w:rPr>
        <w:t>The pharmaceutical industry is highly competitive and dynamic, owing to rapidly advancing technologies. We face potential competition from many different sources, including major pharmaceutical, specialty pharmaceutical and biotechnology companies, academic institutions, government agencies and public and private research institutions. Any product candidates that we successfully develop and commercialize will compete with existing treatments and new treatments that may become available in the future. In addition, during development, our product candidates may compete against other experimental treatments, whether cell therapy or other modalities, for patients with certain histologies or patients with tumors expressing certain antigen targets of interest.</w:t>
      </w:r>
    </w:p>
    <w:p>
      <w:pPr>
        <w:spacing w:after="0" w:line="60" w:lineRule="exact"/>
        <w:rPr>
          <w:sz w:val="20"/>
          <w:szCs w:val="20"/>
          <w:color w:val="auto"/>
        </w:rPr>
      </w:pPr>
    </w:p>
    <w:p>
      <w:pPr>
        <w:ind w:right="60" w:firstLine="636"/>
        <w:spacing w:after="0" w:line="261" w:lineRule="auto"/>
        <w:rPr>
          <w:sz w:val="20"/>
          <w:szCs w:val="20"/>
          <w:color w:val="auto"/>
        </w:rPr>
      </w:pPr>
      <w:r>
        <w:rPr>
          <w:rFonts w:ascii="Times New Roman" w:cs="Times New Roman" w:eastAsia="Times New Roman" w:hAnsi="Times New Roman"/>
          <w:sz w:val="18"/>
          <w:szCs w:val="18"/>
          <w:color w:val="auto"/>
        </w:rPr>
        <w:t xml:space="preserve">We are aware of a number of companies using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cell therapy approaches to treat solid tumors. Some of these companies may have substantially greater financial and other resources than we have, such as larger research and development staff and well-established marketing and sales forces, or may operate in jurisdictions where lower standards of evidence are required to bring products to market.</w:t>
      </w:r>
    </w:p>
    <w:p>
      <w:pPr>
        <w:spacing w:after="0" w:line="40" w:lineRule="exact"/>
        <w:rPr>
          <w:sz w:val="20"/>
          <w:szCs w:val="20"/>
          <w:color w:val="auto"/>
        </w:rPr>
      </w:pPr>
    </w:p>
    <w:p>
      <w:pPr>
        <w:ind w:right="700" w:firstLine="636"/>
        <w:spacing w:after="0" w:line="236" w:lineRule="exact"/>
        <w:rPr>
          <w:sz w:val="20"/>
          <w:szCs w:val="20"/>
          <w:color w:val="auto"/>
        </w:rPr>
      </w:pPr>
      <w:r>
        <w:rPr>
          <w:rFonts w:ascii="Times New Roman" w:cs="Times New Roman" w:eastAsia="Times New Roman" w:hAnsi="Times New Roman"/>
          <w:sz w:val="18"/>
          <w:szCs w:val="18"/>
          <w:color w:val="auto"/>
        </w:rPr>
        <w:t>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therapies for the treatment of solid tumors are being developed by a number of companies, including but not limited to Adaptimmune Therapeutics plc, ArsenalBio, AstraZeneca plc, Bristol Myers Squibb Co.,</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Gilead Sciences Inc., Immunocore Holdings plc, Iovance Biotherapeutics Inc., the Janssen Pharmaceutical Companies of Johnson &amp; Johnson, Nanjing Legend Biotech, Novartis AG, Nurix Therapeutics Inc., Precigen Inc. and Turnstone Biologics. We are also aware that other companies are developing therapies in modalities such as monoclonal antibodies and antibody drug conjugates for cancers that express ROR1, such as Merck &amp; Co., Inc.</w:t>
      </w:r>
    </w:p>
    <w:p>
      <w:pPr>
        <w:spacing w:after="0" w:line="72" w:lineRule="exact"/>
        <w:rPr>
          <w:sz w:val="20"/>
          <w:szCs w:val="20"/>
          <w:color w:val="auto"/>
        </w:rPr>
      </w:pPr>
    </w:p>
    <w:p>
      <w:pPr>
        <w:ind w:right="180" w:firstLine="636"/>
        <w:spacing w:after="0" w:line="259" w:lineRule="auto"/>
        <w:rPr>
          <w:sz w:val="20"/>
          <w:szCs w:val="20"/>
          <w:color w:val="auto"/>
        </w:rPr>
      </w:pPr>
      <w:r>
        <w:rPr>
          <w:rFonts w:ascii="Times New Roman" w:cs="Times New Roman" w:eastAsia="Times New Roman" w:hAnsi="Times New Roman"/>
          <w:sz w:val="18"/>
          <w:szCs w:val="18"/>
          <w:color w:val="auto"/>
        </w:rPr>
        <w:t>Among companies developing cell therapies for solid tumors, we believe we are substantially differentiated by our reprogramming technologies, knowledge, experience, scientific personnel and robust intellectual property portfolio. We believe the key competitive factors affecting the success of any of our product candidates will include efficacy, safety, accessibility, price and cost of manufacturing.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Collaboration and Success Payment Agreements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Fred Hutch License Agreement and Success Payment Agreement</w:t>
      </w:r>
    </w:p>
    <w:p>
      <w:pPr>
        <w:spacing w:after="0" w:line="115" w:lineRule="exact"/>
        <w:rPr>
          <w:sz w:val="20"/>
          <w:szCs w:val="20"/>
          <w:color w:val="auto"/>
        </w:rPr>
      </w:pPr>
    </w:p>
    <w:p>
      <w:pPr>
        <w:ind w:right="180" w:firstLine="636"/>
        <w:spacing w:after="0" w:line="252" w:lineRule="auto"/>
        <w:rPr>
          <w:sz w:val="20"/>
          <w:szCs w:val="20"/>
          <w:color w:val="auto"/>
        </w:rPr>
      </w:pPr>
      <w:r>
        <w:rPr>
          <w:rFonts w:ascii="Times New Roman" w:cs="Times New Roman" w:eastAsia="Times New Roman" w:hAnsi="Times New Roman"/>
          <w:sz w:val="18"/>
          <w:szCs w:val="18"/>
          <w:color w:val="auto"/>
        </w:rPr>
        <w:t>In December 2018, we entered into a license agreement with Fred Hutchinson Cancer Center (Fred Hutch) (as amended in June 2019, September 2019, January 2020, and August 2020) that grants us a worldwide, sublicensable license under certain patent rights (exclusive) and certain technology (non-exclusive), to research, develop and commercialize products and processes for all fields of use utilizing CARs and/or TCRs. We paid Fred Hutch an upfront payment of $150,000. In connection with the license agreement, we entered into a letter agreement with Fred Hutch pursuant to which we issued to Fred Hutch 1,075,000 shares of our common stock.</w:t>
      </w:r>
    </w:p>
    <w:p>
      <w:pPr>
        <w:spacing w:after="0" w:line="79" w:lineRule="exact"/>
        <w:rPr>
          <w:sz w:val="20"/>
          <w:szCs w:val="20"/>
          <w:color w:val="auto"/>
        </w:rPr>
      </w:pPr>
    </w:p>
    <w:p>
      <w:pPr>
        <w:ind w:right="120" w:firstLine="636"/>
        <w:spacing w:after="0" w:line="255" w:lineRule="auto"/>
        <w:rPr>
          <w:sz w:val="20"/>
          <w:szCs w:val="20"/>
          <w:color w:val="auto"/>
        </w:rPr>
      </w:pPr>
      <w:r>
        <w:rPr>
          <w:rFonts w:ascii="Times New Roman" w:cs="Times New Roman" w:eastAsia="Times New Roman" w:hAnsi="Times New Roman"/>
          <w:sz w:val="18"/>
          <w:szCs w:val="18"/>
          <w:color w:val="auto"/>
        </w:rPr>
        <w:t>The license agreement will expire, on a product-by-product and country-by-country basis, on the later of (a) the expiration of the last to expire valid claim of the patents rights covering such product in such country and (b) ten (10) years after the date of the first commercial sale of such product in such country. We may terminate the agreement at will in its entirety or with respect to any patent. Fred Hutch has the right to terminate the agreement in the event of our uncured breach.</w:t>
      </w:r>
    </w:p>
    <w:p>
      <w:pPr>
        <w:spacing w:after="0" w:line="74" w:lineRule="exact"/>
        <w:rPr>
          <w:sz w:val="20"/>
          <w:szCs w:val="20"/>
          <w:color w:val="auto"/>
        </w:rPr>
      </w:pPr>
    </w:p>
    <w:p>
      <w:pPr>
        <w:ind w:firstLine="636"/>
        <w:spacing w:after="0" w:line="244" w:lineRule="auto"/>
        <w:rPr>
          <w:sz w:val="20"/>
          <w:szCs w:val="20"/>
          <w:color w:val="auto"/>
        </w:rPr>
      </w:pPr>
      <w:r>
        <w:rPr>
          <w:rFonts w:ascii="Times New Roman" w:cs="Times New Roman" w:eastAsia="Times New Roman" w:hAnsi="Times New Roman"/>
          <w:sz w:val="18"/>
          <w:szCs w:val="18"/>
          <w:color w:val="auto"/>
        </w:rPr>
        <w:t>We also entered into a letter agreement with Fred Hutch in December 2018 under which we agreed to make success payments to Fred Hutch, payable in cash or publicly tradable equity at our discretion. These success payments are based on increases in the per share fair market value of our common stock (as all our Series A convertible preferred stock were converted into an equivalent number of shares of our common stock upon the closing of our initial public offering) during the success payment period, which is a period of time that begins on the date of our letter agreement with Fred Hutch and ends on the earlier of: (a) the ninth anniversary of that date and (b) the earlier of (i) the date on which we sell, lease, transfer or exclusively license all or substantially all of our assets to another company and (ii) the date on which we merge or consolidate with or into another entity (other than a merger in which our pre-merger stockholders own a majority of the shares of the surviving entity). Success payments will be owed (if applicable) after measurement of the value of our common stock in connection with the following valuation dates during the success payment period: (1) the date of the first anniversary of our initial public offering; (2) the second anniversary of such date; (3) each two year anniversary thereafter (i.e., the four year anniversary, six year anniversary, etc. of such date); (4) the date on which we sell, lease, transfer or exclusively license all or substantially all of our assets to another company; (5) the date on which we merge or consolidate with or into another entity (other than a merger in which our pre-merger stockholders own a majority of the shares of the surviving entity); and (6) the last day of the nine-year period. Any success payment will generally be made within 45 days after the applicable valuation date, except that in the case of a merger or sale of all of our company’s assets, the success payment will be made on the earlier of the 90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following the transaction or the first date that transaction proceeds are paid to any of our stockholders. In the case of (1), (2) and (3), the value of our common stock will be determined by the average trading price of a share of our common stock over the consecutive 90-day period preceding the date the success payment is made; the value will otherwise be determined either, in the case of a merger or stock sale, by the consideration paid in the transaction for each share of our stock or the stock of the acquiring entity (or their parent or affiliate). The amount of a success payment is determined based on whether the value of our common stock meets or exceeds certain specified threshold values ascending from $18.29 per share to $91.44 per share, in each case subject to adjustment for any stock dividend, stock split, combination of shares or other similar events. Each threshold is associated with a success payment, ascending from $10.0 million at $18.29 per share to a cumulative total of $200.0 million at $91.44 per share, payable if such threshold is reached. Any previous success payments made to Fred Hutch are credited against the success payment owed as of any valuation date, so that Fred Hutch does not receive multiple success payments in connection with the same threshold. The success payments paid to Fred Hutch will not exceed, in aggregate, $200.0 million, which would be owed only when the value of the common stock reaches $91.44 per share. To date, no success payments have been incurred as the per share fair value of our common stock was below the price required for payment.</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Stanford License Agreement and Success Payment Agreement</w:t>
      </w:r>
    </w:p>
    <w:p>
      <w:pPr>
        <w:spacing w:after="0" w:line="115" w:lineRule="exact"/>
        <w:rPr>
          <w:sz w:val="20"/>
          <w:szCs w:val="20"/>
          <w:color w:val="auto"/>
        </w:rPr>
      </w:pPr>
    </w:p>
    <w:p>
      <w:pPr>
        <w:ind w:right="80" w:firstLine="636"/>
        <w:spacing w:after="0" w:line="271" w:lineRule="auto"/>
        <w:rPr>
          <w:sz w:val="20"/>
          <w:szCs w:val="20"/>
          <w:color w:val="auto"/>
        </w:rPr>
      </w:pPr>
      <w:r>
        <w:rPr>
          <w:rFonts w:ascii="Times New Roman" w:cs="Times New Roman" w:eastAsia="Times New Roman" w:hAnsi="Times New Roman"/>
          <w:sz w:val="17"/>
          <w:szCs w:val="17"/>
          <w:color w:val="auto"/>
        </w:rPr>
        <w:t>In January 2019, we entered into a license agreement with The Board of Trustees of the Leland Stanford Junior University (Stanford) that grants us a worldwide, sublicensable license under certain patent rights (exclusive), and certain other patent rights and technology (non-exclusive), to research, develop and commercialize products and processes for all fields of use utilizing CARs and/or TCRs. We also have the right to add certain Stanford patent applications covering certain inventions that are improvements to the existing patents and patent applications, as well as a right of first negotiation for other patent applications covering inventions made in the principal investigator’s lab that relate to and are necessary or useful for utilizing CARs and/or TCRs.</w:t>
      </w:r>
    </w:p>
    <w:p>
      <w:pPr>
        <w:spacing w:after="0" w:line="168" w:lineRule="exact"/>
        <w:rPr>
          <w:sz w:val="20"/>
          <w:szCs w:val="20"/>
          <w:color w:val="auto"/>
        </w:rPr>
      </w:pPr>
    </w:p>
    <w:p>
      <w:pPr>
        <w:ind w:right="40" w:firstLine="636"/>
        <w:spacing w:after="0" w:line="248" w:lineRule="auto"/>
        <w:rPr>
          <w:sz w:val="20"/>
          <w:szCs w:val="20"/>
          <w:color w:val="auto"/>
        </w:rPr>
      </w:pPr>
      <w:r>
        <w:rPr>
          <w:rFonts w:ascii="Times New Roman" w:cs="Times New Roman" w:eastAsia="Times New Roman" w:hAnsi="Times New Roman"/>
          <w:sz w:val="18"/>
          <w:szCs w:val="18"/>
          <w:color w:val="auto"/>
        </w:rPr>
        <w:t>We paid Stanford an upfront payment of $400,000. In connection with the license agreement, we entered into a letter agreement in January 2019 with Stanford pursuant to which we issued to Stanford 910,000 shares of our common stock. We are required to pay Stanford an annual maintenance fee in the mid tens of thousands of dollars on the second anniversary of entering into this agreement, and each anniversary thereafter until the date of the first commercial sale of a licensed product. We are obligated to pay Stanford up to a maximum of $3.7 million per target upon achievement of certain specified clinical and regulatory milestones. We are also obligated to pay Stanford $2.5 million collectively for all licensed products upon our achievement of a certain commercial milestone. In addition, the license agreement provides that we are required to pay Stanford low single-digit tiered royalties based on annual net sales of the licensed products by us and by our sublicensees. If we seek to challenge the validity of any of the licensed patents, during the pendency of such action our royalty rate will increase, and if the outcome of such challenge finds that patent is both valid and infringed our royalty rate will increase further. We are also required to pay Stanford (a) royalties in the mid-teens percentage of the payments that we receive from sublicensees of the rights solely licensed to us by Stanford, or (b) sublicensing fees if sublicensed with other intellectual property on a tiered basis up to $300,000.</w:t>
      </w:r>
    </w:p>
    <w:p>
      <w:pPr>
        <w:spacing w:after="0" w:line="193" w:lineRule="exact"/>
        <w:rPr>
          <w:sz w:val="20"/>
          <w:szCs w:val="20"/>
          <w:color w:val="auto"/>
        </w:rPr>
      </w:pPr>
    </w:p>
    <w:p>
      <w:pPr>
        <w:ind w:right="40" w:firstLine="636"/>
        <w:spacing w:after="0" w:line="259" w:lineRule="auto"/>
        <w:rPr>
          <w:sz w:val="20"/>
          <w:szCs w:val="20"/>
          <w:color w:val="auto"/>
        </w:rPr>
      </w:pPr>
      <w:r>
        <w:rPr>
          <w:rFonts w:ascii="Times New Roman" w:cs="Times New Roman" w:eastAsia="Times New Roman" w:hAnsi="Times New Roman"/>
          <w:sz w:val="18"/>
          <w:szCs w:val="18"/>
          <w:color w:val="auto"/>
        </w:rPr>
        <w:t>The license agreement will expire, on a licensed product-by-licensed product and country-by-country basis, on the expiration of the last to expire valid claim of the licensed patents rights covering such licensed product in such country. We may terminate the agreement at will in its entirety or with respect to any licensed patent. Stanford has the right to terminate the agreement in the event of our uncured breach.</w:t>
      </w:r>
    </w:p>
    <w:p>
      <w:pPr>
        <w:spacing w:after="0" w:line="178" w:lineRule="exact"/>
        <w:rPr>
          <w:sz w:val="20"/>
          <w:szCs w:val="20"/>
          <w:color w:val="auto"/>
        </w:rPr>
      </w:pPr>
    </w:p>
    <w:p>
      <w:pPr>
        <w:ind w:firstLine="636"/>
        <w:spacing w:after="0" w:line="258" w:lineRule="auto"/>
        <w:rPr>
          <w:sz w:val="20"/>
          <w:szCs w:val="20"/>
          <w:color w:val="auto"/>
        </w:rPr>
      </w:pPr>
      <w:r>
        <w:rPr>
          <w:rFonts w:ascii="Times New Roman" w:cs="Times New Roman" w:eastAsia="Times New Roman" w:hAnsi="Times New Roman"/>
          <w:sz w:val="17"/>
          <w:szCs w:val="17"/>
          <w:color w:val="auto"/>
        </w:rPr>
        <w:t>We also entered into a letter agreement with Stanford in October 2020, under which we agreed to make success payments to Stanford, payable in cash or publicly tradable equity at our discretion. These success payments are based on increases in the per share fair market value of our common stock (as all our Series A convertible preferred stock were converted into an equivalent number of shares of our common stock upon the closing of our initial public offering) during the success payment period, which is a period of time that begins on the date of our letter agreement with Stanford and ends on the earlier of: (a) the ninth anniversary of that date and (b) the earlier of (i) the date on which we sell, lease, transfer or exclusively license all or substantially all of our assets to another company and (ii) the date on which we merge or consolidate with or into another entity (other than a merger in which our pre-merger stockholders own a majority of the shares of the surviving entity). Success payments will be owed (if applicable) after measurement of the value of our common stock in connection with the following valuation dates during the success payment period: (1) the date of the first anniversary of our initial public offering; (2) the second anniversary of such date; (3) each two year anniversary thereafter (i.e., the four year anniversary, six year anniversary, etc. of such date); (4) the date on which we sell, lease, transfer or exclusively license all or substantially all of our assets to another company; (5) the date on which we merge or consolidate with or into another entity (other than a merger in which our pre-merger stockholders own a majority of the shares of the surviving entity); and (6) the last day of the nine-year period. Any success payment will generally be made within 45 days after the applicable valuation date, except that in the case of a merger or sale of all of our company’s assets, the success payment will be made on the earlier of the 90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xml:space="preserve"> day following the transaction or the first date that transaction proceeds are paid to any of our stockholders. In the case of (1), (2) and (3), the value of our common stock will be determined by the average trading price of a share of our common stock over the consecutive 90-day period preceding the date the success payment is made; the value will otherwise be determined either, in the case of a merger or stock sale, by the consideration paid in the transaction for each share of our stock or the stock of the acquiring entity (or their parent or affiliate). The amount of a success payment is determined based on whether the value of our common stock meets or exceeds certain specified threshold values ascending from $18.29 per share to $91.44 per share, in each case subject to adjustment for any stock dividend, stock split, combination of shares or other similar events. Each threshold is associated with a success payment, ascending from $10.0 million at $18.29 per share to a cumulative total of</w:t>
      </w:r>
    </w:p>
    <w:p>
      <w:pPr>
        <w:spacing w:after="0" w:line="5"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7"/>
          <w:szCs w:val="17"/>
          <w:color w:val="auto"/>
        </w:rPr>
        <w:t>$200.0 million at $91.44 per share, payable if such threshold is reached. Any previous success payments made to Stanford are credited against the success payment owed as of any valuation date, so that Stanford does not receive multiple success payments in connection with the same threshold. The success payments paid to Stanford will not exceed, in aggregate, $200.0 million, which would be owed only when the value of the common stock reaches $91.44 per share. To date, no success payments have been incurred as the per share fair value of our common stock was below the price required for payment.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GSK Collaboration and License Agreement</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 2019, we entered into a collaboration and license agreement with GlaxoSmithKline (GSK) that became effective on July 7, 2019 and was amended</w:t>
      </w:r>
    </w:p>
    <w:p>
      <w:pPr>
        <w:spacing w:after="0" w:line="3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 June 2020 and December 2021 (GSK Agreement) for potential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therapies that apply our platform technologies and cell therapy innovations with</w:t>
      </w:r>
    </w:p>
    <w:p>
      <w:pPr>
        <w:spacing w:after="0" w:line="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receptors (TCRs) or chimeric antigen receptors (CARs) under distinct collaboration programs. The GSK Agreement defined two initial collaboration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targets, CD19 and NY-ESO-1, and allowed GSK to nominate seven additional targets through July 2024. After agreeing on the programs for those targets, we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were expected to perform research and development services for each agreed program up until a defined point (GSK Option Point), at which time GSK would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decide whether or not to exercise an option to obtain a license from us (License Option) and take over the future development and commercialization. For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LYL331 program (NY-ESO-1 TCR with c-Jun), GSK exercised the License Option in April 2021 and assumed sole responsibility for future development and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commercialization of the program at its own cost and expense. No IND for LYL331 was submitted to the U.S. Food and Drug Administration (FDA). For the</w:t>
      </w:r>
    </w:p>
    <w:p>
      <w:pPr>
        <w:spacing w:after="0" w:line="1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LYL132 program (NY-ESO-1 TCR with Epi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 we filed an IND application, which cleared in January 2022, though no patients were treated. The program</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targeting CD19 was a research effort. No additional targets were nominated over the term of the GSK Agreement. GSK terminated the GSK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December 24, 2022 and Lyell has discontinued any further work on these programs.</w:t>
      </w:r>
    </w:p>
    <w:p>
      <w:pPr>
        <w:spacing w:after="0" w:line="92" w:lineRule="exact"/>
        <w:rPr>
          <w:sz w:val="20"/>
          <w:szCs w:val="20"/>
          <w:color w:val="auto"/>
        </w:rPr>
      </w:pPr>
    </w:p>
    <w:p>
      <w:pPr>
        <w:ind w:right="20" w:firstLine="636"/>
        <w:spacing w:after="0" w:line="272" w:lineRule="auto"/>
        <w:rPr>
          <w:sz w:val="20"/>
          <w:szCs w:val="20"/>
          <w:color w:val="auto"/>
        </w:rPr>
      </w:pPr>
      <w:r>
        <w:rPr>
          <w:rFonts w:ascii="Times New Roman" w:cs="Times New Roman" w:eastAsia="Times New Roman" w:hAnsi="Times New Roman"/>
          <w:sz w:val="17"/>
          <w:szCs w:val="17"/>
          <w:color w:val="auto"/>
        </w:rPr>
        <w:t>We received a non-refundable upfront payment of $45.0 million under the GSK Agreement. In connection with the GSK Agreement, in May 2019, we also entered into a stock purchase agreement with GSK (GSK Stock Purchase Agreement), pursuant to which we agreed to sell 30,253,189 shares of Series</w:t>
      </w:r>
    </w:p>
    <w:p>
      <w:pPr>
        <w:ind w:right="600" w:firstLine="6"/>
        <w:spacing w:after="0" w:line="248" w:lineRule="auto"/>
        <w:tabs>
          <w:tab w:leader="none" w:pos="29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preferred stock at a price of $6.78 per share, which was above the issuance date estimated fair value of $4.84 per share. The difference between the per share values resulted in $58.6 million additional deemed consideration, bringing the total upfront payment of the GSK Agreement to $103.6 million.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3" w:lineRule="exact"/>
        <w:rPr>
          <w:sz w:val="20"/>
          <w:szCs w:val="20"/>
          <w:color w:val="auto"/>
        </w:rPr>
      </w:pPr>
    </w:p>
    <w:p>
      <w:pPr>
        <w:ind w:firstLine="636"/>
        <w:spacing w:after="0" w:line="248" w:lineRule="auto"/>
        <w:rPr>
          <w:sz w:val="20"/>
          <w:szCs w:val="20"/>
          <w:color w:val="auto"/>
        </w:rPr>
      </w:pPr>
      <w:r>
        <w:rPr>
          <w:rFonts w:ascii="Times New Roman" w:cs="Times New Roman" w:eastAsia="Times New Roman" w:hAnsi="Times New Roman"/>
          <w:sz w:val="18"/>
          <w:szCs w:val="18"/>
          <w:color w:val="auto"/>
        </w:rPr>
        <w:t>We strive to protect and enhance the proprietary technology, inventions and improvements that are commercially important to our business, including seeking, maintaining and defending patent rights, whether developed internally or licensed from our collaborators or other third parties. Our policy is to seek to protect our proprietary position by, among other methods, filing patent applications in the United States and in jurisdictions outside of the United States related to our proprietary technology, inventions, improvements and product candidates that are important to the development and implementation of our business. We also rely on trade secrets and know-how relating to our proprietary technology and product candidates, continuing innovation and in-licensing opportunities to develop, strengthen and maintain our proprietary position in the field of cell and gene therapy. We additionally plan to rely on data exclusivity, market exclusivity and patent term extensions when available, and if appropriate, may seek and rely on regulatory protection afforded through orphan drug designations. Our commercial success may depend in part on our ability to obtain and maintain patent and other proprietary protection for our technology, inventions and improvements; to preserve the confidentiality of our trade secrets; to maintain our licenses to use intellectual property owned by third parties; to defend and enforce our proprietary rights, including our patents; and to operate without infringing on the valid and enforceable patents and other proprietary rights of third parties.</w:t>
      </w:r>
    </w:p>
    <w:p>
      <w:pPr>
        <w:spacing w:after="0" w:line="191" w:lineRule="exact"/>
        <w:rPr>
          <w:sz w:val="20"/>
          <w:szCs w:val="20"/>
          <w:color w:val="auto"/>
        </w:rPr>
      </w:pPr>
    </w:p>
    <w:p>
      <w:pPr>
        <w:ind w:right="100" w:firstLine="636"/>
        <w:spacing w:after="0" w:line="214" w:lineRule="exact"/>
        <w:rPr>
          <w:sz w:val="20"/>
          <w:szCs w:val="20"/>
          <w:color w:val="auto"/>
        </w:rPr>
      </w:pPr>
      <w:r>
        <w:rPr>
          <w:rFonts w:ascii="Times New Roman" w:cs="Times New Roman" w:eastAsia="Times New Roman" w:hAnsi="Times New Roman"/>
          <w:sz w:val="18"/>
          <w:szCs w:val="18"/>
          <w:color w:val="auto"/>
        </w:rPr>
        <w:t>We have in-licensed and procured, and filed for numerous patent applications, which include claims directed to compositions, methods of use, processes, dosing and formulations, and possess substantial know-how and trade secrets relating to the development and commercialization of our cell engineering technology platforms and related product candidates, including related manufacturing processes and protocols. Our intellectual property strategy is designed to provide multi-layered protection covering our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reprogramming technologies, including but not limited to c-Jun, NR4A3, Epi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and Stim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as well as various aspects of our product candidates. For all patent applications, we determine claiming strategy on a case-by-case basis. We may file patent applications containing claims for protection of all useful applications of our proprietary technology platforms and any products, as well as new applications and/or uses we discover for existing technology platforms and products. We continuously reassess the number and type of patent applications, as well as the pending and issued patent claims, to ensure that maximum coverage and value are obtained for our processes and compositions. Further, claims may be modified during patent prosecution to meet our intellectual property and business needs. Notwithstanding these efforts, we cannot be sure that any patents will be granted with respect to any patent application we have licensed or filed or may license or file in the future, and we cannot be sure that any patents we have licensed or patents that may be licensed or granted to us in the future will not be challenged, invalidated or circumvented or that such patents will be commercially useful in protecting our technologies.</w:t>
      </w:r>
    </w:p>
    <w:p>
      <w:pPr>
        <w:spacing w:after="0" w:line="200" w:lineRule="exact"/>
        <w:rPr>
          <w:sz w:val="20"/>
          <w:szCs w:val="20"/>
          <w:color w:val="auto"/>
        </w:rPr>
      </w:pPr>
    </w:p>
    <w:p>
      <w:pPr>
        <w:ind w:right="200" w:firstLine="636"/>
        <w:spacing w:after="0" w:line="274" w:lineRule="auto"/>
        <w:rPr>
          <w:sz w:val="20"/>
          <w:szCs w:val="20"/>
          <w:color w:val="auto"/>
        </w:rPr>
      </w:pPr>
      <w:r>
        <w:rPr>
          <w:rFonts w:ascii="Times New Roman" w:cs="Times New Roman" w:eastAsia="Times New Roman" w:hAnsi="Times New Roman"/>
          <w:sz w:val="18"/>
          <w:szCs w:val="18"/>
          <w:color w:val="auto"/>
        </w:rPr>
        <w:t>As of February 1, 2023, our in-licensed and owned patent portfolio consists of over 40 issued patents and over 135 pending patent applications that we have licensed and over 100 pending patent applications that we own. Our portfolio</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20"/>
        <w:spacing w:after="0" w:line="228" w:lineRule="exact"/>
        <w:rPr>
          <w:sz w:val="20"/>
          <w:szCs w:val="20"/>
          <w:color w:val="auto"/>
        </w:rPr>
      </w:pPr>
      <w:r>
        <w:rPr>
          <w:rFonts w:ascii="Times New Roman" w:cs="Times New Roman" w:eastAsia="Times New Roman" w:hAnsi="Times New Roman"/>
          <w:sz w:val="18"/>
          <w:szCs w:val="18"/>
          <w:color w:val="auto"/>
        </w:rPr>
        <w:t>covers various aspects of our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reprogramming technologies, c-Jun, NR4A3, Epi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and Stim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as well as our product candidates. The patents and patent applications in our portfolio are held primarily in the United States, Europe, Canada, Japan and Australia. For information related to our in-licensed intellectual property, see the subsection titled under “—License, Collaboration and Success Payment Agreements.”</w:t>
      </w:r>
    </w:p>
    <w:p>
      <w:pPr>
        <w:spacing w:after="0" w:line="193" w:lineRule="exact"/>
        <w:rPr>
          <w:sz w:val="20"/>
          <w:szCs w:val="20"/>
          <w:color w:val="auto"/>
        </w:rPr>
      </w:pPr>
    </w:p>
    <w:p>
      <w:pPr>
        <w:ind w:firstLine="636"/>
        <w:spacing w:after="0" w:line="214" w:lineRule="exact"/>
        <w:rPr>
          <w:sz w:val="20"/>
          <w:szCs w:val="20"/>
          <w:color w:val="auto"/>
        </w:rPr>
      </w:pPr>
      <w:r>
        <w:rPr>
          <w:rFonts w:ascii="Times New Roman" w:cs="Times New Roman" w:eastAsia="Times New Roman" w:hAnsi="Times New Roman"/>
          <w:sz w:val="17"/>
          <w:szCs w:val="17"/>
          <w:color w:val="auto"/>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nonprovisional filing date. In the United States, a patent’s term may be lengthened by patent term adjustment (PTA), which compensates a patentee for administrative delays by the USPTO in examining and granting a patent or may be shortened if a patent is terminally disclaimed over an earlier filed patent. In addition, in certain instances, the patent term of a U.S. patent that covers an FDA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approved drug may also be eligible for extension to recapture a portion of the term effectively lost as a result of clinical trials and the FDA regulatory review period, such extension is referred to as patent term extension. The restoration period cannot be longer than five years and the total patent term, including the restoration period, must not exceed 14 years following FDA approval. Similar provisions are available in Europe and certain other foreign jurisdictions to extend the term of a patent that covers an approved drug. However, there is no guarantee that the applicable authorities, including the FDA in the United States, will agree with our assessment of whether such extensions should be granted, and if granted, the length of such extensions. The duration of patents outside of the United States varies in accordance with provisions of applicable local law, but typically is also 20 years from the earliest nonprovisional filing date.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94" w:lineRule="exact"/>
        <w:rPr>
          <w:sz w:val="20"/>
          <w:szCs w:val="20"/>
          <w:color w:val="auto"/>
        </w:rPr>
      </w:pPr>
    </w:p>
    <w:p>
      <w:pPr>
        <w:ind w:right="160" w:firstLine="636"/>
        <w:spacing w:after="0" w:line="271" w:lineRule="auto"/>
        <w:rPr>
          <w:sz w:val="20"/>
          <w:szCs w:val="20"/>
          <w:color w:val="auto"/>
        </w:rPr>
      </w:pPr>
      <w:r>
        <w:rPr>
          <w:rFonts w:ascii="Times New Roman" w:cs="Times New Roman" w:eastAsia="Times New Roman" w:hAnsi="Times New Roman"/>
          <w:sz w:val="17"/>
          <w:szCs w:val="17"/>
          <w:color w:val="auto"/>
        </w:rPr>
        <w:t>As of February 1, 2023, our registered trademark portfolio currently contains over 165 registered trademarks and pending trademark applications, consisting of approximately 9 pending trademark applications in the United States, over 80 foreign pending trademark applications in Argentina, Brazil, Canada, China, Hong Kong, India, Israel, Mexico, Oman, South Korea, Russia, Singapore, South Africa, the United Arab Emirates and Venezuela; and over 75 trademark registrations in the following countries through national filings: Australia, Brazil, China, Colombia, Costa Rica, European Union, Hong Kong, India, Israel, Japan, Mexico, New Zealand, Oman, Russia, South Korea, Switzerland, the United Arab Emirates, the United Kingdom and Venezuela.</w:t>
      </w:r>
    </w:p>
    <w:p>
      <w:pPr>
        <w:spacing w:after="0" w:line="168" w:lineRule="exact"/>
        <w:rPr>
          <w:sz w:val="20"/>
          <w:szCs w:val="20"/>
          <w:color w:val="auto"/>
        </w:rPr>
      </w:pPr>
    </w:p>
    <w:p>
      <w:pPr>
        <w:ind w:firstLine="636"/>
        <w:spacing w:after="0" w:line="249" w:lineRule="auto"/>
        <w:rPr>
          <w:sz w:val="20"/>
          <w:szCs w:val="20"/>
          <w:color w:val="auto"/>
        </w:rPr>
      </w:pPr>
      <w:r>
        <w:rPr>
          <w:rFonts w:ascii="Times New Roman" w:cs="Times New Roman" w:eastAsia="Times New Roman" w:hAnsi="Times New Roman"/>
          <w:sz w:val="18"/>
          <w:szCs w:val="18"/>
          <w:color w:val="auto"/>
        </w:rPr>
        <w:t>We may also rely, in some circumstances, on trade secrets to protect our technology. However, trade secrets are difficult to protect. We seek to protect our technology and product candidates, in part,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In addition, our trade secrets may otherwise become known or may be independently discovered by competitors. To the extent that our employees, contractors, consultants, collaborators and advisors use intellectual property owned by others in their work for us, disputes may arise as to the rights in related or resulting know-how and inventions. For this and more comprehensive risks related to our proprietary technology, inventions, improvements and product candidates, see the subsection titled “Risk Factors —Risks Relating to Our Intellectual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13" w:lineRule="exact"/>
        <w:rPr>
          <w:sz w:val="20"/>
          <w:szCs w:val="20"/>
          <w:color w:val="auto"/>
        </w:rPr>
      </w:pPr>
    </w:p>
    <w:p>
      <w:pPr>
        <w:ind w:right="280" w:firstLine="636"/>
        <w:spacing w:after="0" w:line="252" w:lineRule="auto"/>
        <w:rPr>
          <w:sz w:val="20"/>
          <w:szCs w:val="20"/>
          <w:color w:val="auto"/>
        </w:rPr>
      </w:pPr>
      <w:r>
        <w:rPr>
          <w:rFonts w:ascii="Times New Roman" w:cs="Times New Roman" w:eastAsia="Times New Roman" w:hAnsi="Times New Roman"/>
          <w:sz w:val="18"/>
          <w:szCs w:val="18"/>
          <w:color w:val="auto"/>
        </w:rPr>
        <w:t>Given our stage of development, we have not yet established a commercial organization or distribution capabilities. We intend to either build a commercial infrastructure to support sales of any approved products or outsource this function to third parties. We intend to evaluate opportunities to work with partners that enhance our capabilities with respect to the development and commercialization of LYL797, LYL845, LYL119 and any other product candidates we may develop. In addition, we intend to commercialize our product candidates, if approved, in key markets either alone or with partners to maximize the worldwide commercial potential of our programs.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13" w:lineRule="exact"/>
        <w:rPr>
          <w:sz w:val="20"/>
          <w:szCs w:val="20"/>
          <w:color w:val="auto"/>
        </w:rPr>
      </w:pPr>
    </w:p>
    <w:p>
      <w:pPr>
        <w:ind w:firstLine="636"/>
        <w:spacing w:after="0" w:line="255"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with third-party contractors, will be required to navigate the various nonclinical, clinical and commercial approval requirements of the governing regulatory agencies of the countries in which we wish to conduct trials or seek approval or licensure of our product candidates. The process of obtaining regulatory approvals and the subsequent compliance with applicable federal, state, local and foreign statutes and regulations require the expenditure of substantial time and financial resources.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Biologics Regulation</w:t>
      </w:r>
    </w:p>
    <w:p>
      <w:pPr>
        <w:spacing w:after="0" w:line="115" w:lineRule="exact"/>
        <w:rPr>
          <w:sz w:val="20"/>
          <w:szCs w:val="20"/>
          <w:color w:val="auto"/>
        </w:rPr>
      </w:pPr>
    </w:p>
    <w:p>
      <w:pPr>
        <w:ind w:firstLine="636"/>
        <w:spacing w:after="0" w:line="259" w:lineRule="auto"/>
        <w:rPr>
          <w:sz w:val="20"/>
          <w:szCs w:val="20"/>
          <w:color w:val="auto"/>
        </w:rPr>
      </w:pPr>
      <w:r>
        <w:rPr>
          <w:rFonts w:ascii="Times New Roman" w:cs="Times New Roman" w:eastAsia="Times New Roman" w:hAnsi="Times New Roman"/>
          <w:sz w:val="18"/>
          <w:szCs w:val="18"/>
          <w:color w:val="auto"/>
        </w:rPr>
        <w:t>In the United States, biological products are subject to regulation under the Federal Food, Drug, and Cosmetic Act, the Public Health Service Act and other federal, state, local and foreign statutes and regulations. The process required by the FDA before biologics may be marketed in the United States generally involves the following:</w:t>
      </w:r>
    </w:p>
    <w:p>
      <w:pPr>
        <w:spacing w:after="0" w:line="72" w:lineRule="exact"/>
        <w:rPr>
          <w:sz w:val="20"/>
          <w:szCs w:val="20"/>
          <w:color w:val="auto"/>
        </w:rPr>
      </w:pPr>
    </w:p>
    <w:p>
      <w:pPr>
        <w:ind w:left="640" w:right="52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and animal studies performed in accordance with the FDA’s Good Laboratory Practice requirements (GLP);</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which must become effective before clinical trials may begin;</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(IRB) or ethics committee at each clinical site before the trial is commenced;</w:t>
      </w:r>
    </w:p>
    <w:p>
      <w:pPr>
        <w:spacing w:after="0" w:line="111" w:lineRule="exact"/>
        <w:rPr>
          <w:rFonts w:ascii="Times New Roman" w:cs="Times New Roman" w:eastAsia="Times New Roman" w:hAnsi="Times New Roman"/>
          <w:sz w:val="18"/>
          <w:szCs w:val="18"/>
          <w:color w:val="auto"/>
        </w:rPr>
      </w:pPr>
    </w:p>
    <w:p>
      <w:pPr>
        <w:ind w:left="640" w:right="80" w:hanging="316"/>
        <w:spacing w:after="0" w:line="259"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the FDA’s regulations (commonly referred to as GCP), regulations and any additional requirements for the protection of human research subjects and their health information to establish the safety, purity and potency of the proposed biologic product candidate for its intended purpose;</w:t>
      </w:r>
    </w:p>
    <w:p>
      <w:pPr>
        <w:spacing w:after="0" w:line="7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 Biologics License Application (BLA), after completion of all pivotal clinical trials;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111" w:lineRule="exact"/>
        <w:rPr>
          <w:rFonts w:ascii="Times New Roman" w:cs="Times New Roman" w:eastAsia="Times New Roman" w:hAnsi="Times New Roman"/>
          <w:sz w:val="18"/>
          <w:szCs w:val="18"/>
          <w:color w:val="auto"/>
        </w:rPr>
      </w:pPr>
    </w:p>
    <w:p>
      <w:pPr>
        <w:ind w:left="640" w:right="60" w:hanging="316"/>
        <w:spacing w:after="0" w:line="255"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if applicable, to assess compliance with the FDA’s current Good Tissue Practices (cGTPs) requirements for the use of human cellular and tissue products, and of selected clinical investigation sites to assess compliance with GCPs;</w:t>
      </w:r>
    </w:p>
    <w:p>
      <w:pPr>
        <w:spacing w:after="0" w:line="7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and clinical trial sites that generated the data in support of the BLA;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to permit commercial marketing of the product for particular indications for use in the United States.</w:t>
      </w:r>
    </w:p>
    <w:p>
      <w:pPr>
        <w:spacing w:after="0" w:line="111" w:lineRule="exact"/>
        <w:rPr>
          <w:sz w:val="20"/>
          <w:szCs w:val="20"/>
          <w:color w:val="auto"/>
        </w:rPr>
      </w:pPr>
    </w:p>
    <w:p>
      <w:pPr>
        <w:jc w:val="both"/>
        <w:ind w:right="120" w:firstLine="636"/>
        <w:spacing w:after="0" w:line="282" w:lineRule="auto"/>
        <w:rPr>
          <w:sz w:val="20"/>
          <w:szCs w:val="20"/>
          <w:color w:val="auto"/>
        </w:rPr>
      </w:pPr>
      <w:r>
        <w:rPr>
          <w:rFonts w:ascii="Times New Roman" w:cs="Times New Roman" w:eastAsia="Times New Roman" w:hAnsi="Times New Roman"/>
          <w:sz w:val="17"/>
          <w:szCs w:val="17"/>
          <w:color w:val="auto"/>
        </w:rPr>
        <w:t>Before testing any biological product candidate in humans, the product candidate enters the nonclinical testing stage. Nonclinical tests, also referred to as preclinical studies, include laboratory evaluations of product chemistry, toxicity and formulation, as well as animal studies to assess the potential safety and activity of the product candidate. The conduct of the nonclinical tests must comply with federal regulations and requirements including GLPs.</w:t>
      </w:r>
    </w:p>
    <w:p>
      <w:pPr>
        <w:spacing w:after="0" w:line="53" w:lineRule="exact"/>
        <w:rPr>
          <w:sz w:val="20"/>
          <w:szCs w:val="20"/>
          <w:color w:val="auto"/>
        </w:rPr>
      </w:pPr>
    </w:p>
    <w:p>
      <w:pPr>
        <w:ind w:right="220" w:firstLine="636"/>
        <w:spacing w:after="0" w:line="266" w:lineRule="auto"/>
        <w:rPr>
          <w:sz w:val="20"/>
          <w:szCs w:val="20"/>
          <w:color w:val="auto"/>
        </w:rPr>
      </w:pPr>
      <w:r>
        <w:rPr>
          <w:rFonts w:ascii="Times New Roman" w:cs="Times New Roman" w:eastAsia="Times New Roman" w:hAnsi="Times New Roman"/>
          <w:sz w:val="17"/>
          <w:szCs w:val="17"/>
          <w:color w:val="auto"/>
        </w:rPr>
        <w:t xml:space="preserve">Prior to beginning the first clinical trial with a product candidate in the United States, we must submit an IND to the FDA. An IND is a request for authorization from the FDA to administer an investigational new drug to humans. The central focus of an IND submission is on the general investigational plan and the protocol(s) for clinical trials. The IND also includes results of animal and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69" w:lineRule="exact"/>
        <w:rPr>
          <w:sz w:val="20"/>
          <w:szCs w:val="20"/>
          <w:color w:val="auto"/>
        </w:rPr>
      </w:pPr>
    </w:p>
    <w:p>
      <w:pPr>
        <w:ind w:right="20" w:firstLine="636"/>
        <w:spacing w:after="0" w:line="255" w:lineRule="auto"/>
        <w:rPr>
          <w:sz w:val="20"/>
          <w:szCs w:val="20"/>
          <w:color w:val="auto"/>
        </w:rPr>
      </w:pPr>
      <w:r>
        <w:rPr>
          <w:rFonts w:ascii="Times New Roman" w:cs="Times New Roman" w:eastAsia="Times New Roman" w:hAnsi="Times New Roman"/>
          <w:sz w:val="18"/>
          <w:szCs w:val="18"/>
          <w:color w:val="auto"/>
        </w:rPr>
        <w:t>In addition to the submission of an IND to the FDA before initiation of a clinical trial in the United States, certain human clinical trials involving recombinant or synthetic nucleic acid molecules are subject to oversight of an Institutional Biosafety Committee (IBC) as set forth in the National Institutes of Health (NIH) Guidelines for Research Involving Recombinant DNA Molecules (the NIH Guidelines). Specifically, under the NIH Guidelines, supervision of human gene transfer trials includes evaluation and assessment by an IBC, a local institutional committee that reviews and oversees</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74" w:lineRule="exact"/>
        <w:rPr>
          <w:sz w:val="20"/>
          <w:szCs w:val="20"/>
          <w:color w:val="auto"/>
        </w:rPr>
      </w:pPr>
    </w:p>
    <w:p>
      <w:pPr>
        <w:ind w:right="80" w:firstLine="636"/>
        <w:spacing w:after="0" w:line="248"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trial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trials and clinical trial results to public registries.</w:t>
      </w:r>
    </w:p>
    <w:p>
      <w:pPr>
        <w:spacing w:after="0" w:line="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purposes of BLA approval, human clinical trials are typically conducted in three sequential phases that may overlap or be combined:</w:t>
      </w:r>
    </w:p>
    <w:p>
      <w:pPr>
        <w:spacing w:after="0" w:line="111" w:lineRule="exact"/>
        <w:rPr>
          <w:sz w:val="20"/>
          <w:szCs w:val="20"/>
          <w:color w:val="auto"/>
        </w:rPr>
      </w:pPr>
    </w:p>
    <w:p>
      <w:pPr>
        <w:ind w:left="640" w:right="140" w:hanging="316"/>
        <w:spacing w:after="0" w:line="259"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1—The investigational product is initially introduced into healthy human subjects or patients with the target disease or condition. These trials are designed to test the safety, dosage tolerance, absorption, metabolism and excretion of the investigational product in humans, the side effects associated with increasing doses, and, if possible, to gain early evidence on effectiveness.</w:t>
      </w:r>
    </w:p>
    <w:p>
      <w:pPr>
        <w:spacing w:after="0" w:line="71" w:lineRule="exact"/>
        <w:rPr>
          <w:rFonts w:ascii="Times New Roman" w:cs="Times New Roman" w:eastAsia="Times New Roman" w:hAnsi="Times New Roman"/>
          <w:sz w:val="18"/>
          <w:szCs w:val="18"/>
          <w:color w:val="auto"/>
        </w:rPr>
      </w:pPr>
    </w:p>
    <w:p>
      <w:pPr>
        <w:ind w:left="640" w:right="60" w:hanging="316"/>
        <w:spacing w:after="0" w:line="259"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71" w:lineRule="exact"/>
        <w:rPr>
          <w:rFonts w:ascii="Times New Roman" w:cs="Times New Roman" w:eastAsia="Times New Roman" w:hAnsi="Times New Roman"/>
          <w:sz w:val="18"/>
          <w:szCs w:val="18"/>
          <w:color w:val="auto"/>
        </w:rPr>
      </w:pPr>
    </w:p>
    <w:p>
      <w:pPr>
        <w:ind w:left="640" w:right="40" w:hanging="316"/>
        <w:spacing w:after="0" w:line="282" w:lineRule="auto"/>
        <w:tabs>
          <w:tab w:leader="none" w:pos="6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53" w:lineRule="exact"/>
        <w:rPr>
          <w:sz w:val="20"/>
          <w:szCs w:val="20"/>
          <w:color w:val="auto"/>
        </w:rPr>
      </w:pPr>
    </w:p>
    <w:p>
      <w:pPr>
        <w:ind w:right="260" w:firstLine="636"/>
        <w:spacing w:after="0" w:line="259" w:lineRule="auto"/>
        <w:rPr>
          <w:sz w:val="20"/>
          <w:szCs w:val="20"/>
          <w:color w:val="auto"/>
        </w:rPr>
      </w:pPr>
      <w:r>
        <w:rPr>
          <w:rFonts w:ascii="Times New Roman" w:cs="Times New Roman" w:eastAsia="Times New Roman" w:hAnsi="Times New Roman"/>
          <w:sz w:val="18"/>
          <w:szCs w:val="18"/>
          <w:color w:val="auto"/>
        </w:rPr>
        <w:t>In some cases, the FDA may require, or companies may voluntarily pursue, additional clinical trials after a product is approved to gain more information about the product in the intended therapeutic indication, particularly for long-term safety follow-up. These so-called Phase 4 trials may also be made a condition to approval of the BLA.</w:t>
      </w:r>
    </w:p>
    <w:p>
      <w:pPr>
        <w:spacing w:after="0" w:line="72" w:lineRule="exact"/>
        <w:rPr>
          <w:sz w:val="20"/>
          <w:szCs w:val="20"/>
          <w:color w:val="auto"/>
        </w:rPr>
      </w:pPr>
    </w:p>
    <w:p>
      <w:pPr>
        <w:ind w:right="60" w:firstLine="636"/>
        <w:spacing w:after="0" w:line="252" w:lineRule="auto"/>
        <w:rPr>
          <w:sz w:val="20"/>
          <w:szCs w:val="20"/>
          <w:color w:val="auto"/>
        </w:rPr>
      </w:pPr>
      <w:r>
        <w:rPr>
          <w:rFonts w:ascii="Times New Roman" w:cs="Times New Roman" w:eastAsia="Times New Roman" w:hAnsi="Times New Roman"/>
          <w:sz w:val="18"/>
          <w:szCs w:val="18"/>
          <w:color w:val="auto"/>
        </w:rPr>
        <w:t>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BLA Submission and Review by the FDA</w:t>
      </w:r>
    </w:p>
    <w:p>
      <w:pPr>
        <w:spacing w:after="0" w:line="115" w:lineRule="exact"/>
        <w:rPr>
          <w:sz w:val="20"/>
          <w:szCs w:val="20"/>
          <w:color w:val="auto"/>
        </w:rPr>
      </w:pPr>
    </w:p>
    <w:p>
      <w:pPr>
        <w:ind w:firstLine="636"/>
        <w:spacing w:after="0" w:line="250"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nonclinical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the product, or from a number of alternative sources, including trials initiated by independent investigators. The submission of a BLA requires payment of a substantial application user fee to the FDA, unless a waiver or exemption applies.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firstLine="636"/>
        <w:spacing w:after="0" w:line="249"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a BLA submitted to determine if it is substantially complete before the FDA accepts it for filing. The FDA may refuse to file any BLA that it deems incomplete or not properly reviewable at the time of submission and may request additional information. In this event, the BLA must be resubmitted with the additional information. Once a BLA has been accepted for filing, the FDA’s goal is to review standard applications within 10 months after the filing date, or, if the application qualifies for priority review, six months after the FDA accepts the application for filing. In both standard and priority reviews, the review process may also be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also convene an advisory committee to provide clinical insight on application review questions. The FDA is not bound by the recommendations of an advisory committee, but it considers such recommendations carefully when making decisions.</w:t>
      </w:r>
    </w:p>
    <w:p>
      <w:pPr>
        <w:spacing w:after="0" w:line="81" w:lineRule="exact"/>
        <w:rPr>
          <w:sz w:val="20"/>
          <w:szCs w:val="20"/>
          <w:color w:val="auto"/>
        </w:rPr>
      </w:pPr>
    </w:p>
    <w:p>
      <w:pPr>
        <w:ind w:right="40" w:firstLine="636"/>
        <w:spacing w:after="0" w:line="248" w:lineRule="auto"/>
        <w:rPr>
          <w:sz w:val="20"/>
          <w:szCs w:val="20"/>
          <w:color w:val="auto"/>
        </w:rPr>
      </w:pPr>
      <w:r>
        <w:rPr>
          <w:rFonts w:ascii="Times New Roman" w:cs="Times New Roman" w:eastAsia="Times New Roman" w:hAnsi="Times New Roman"/>
          <w:sz w:val="18"/>
          <w:szCs w:val="18"/>
          <w:color w:val="auto"/>
        </w:rPr>
        <w:t>Before approving a BLA,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For a product candidate that is also a human cellular or tissue product, the FDA also will not approve the application if the manufacturer is not in compliance with cGTPs. These are FDA regulations that govern the methods used in, and the facilities and controls used for, the manufacture of human cells, tissues and cellular and tissue-based products (HCT/Ps), which are human cells or tissue intended for implantation, transplant, infusion or transfer into a human recipient. The primary intent of the 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Additionally, before approving a BLA, the FDA will typically inspect one or more clinical sites to assure compliance with GCP. If the FDA determines that the application, manufacturing process or manufacturing facilities, or data collected from clinical trial sites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83" w:lineRule="exact"/>
        <w:rPr>
          <w:sz w:val="20"/>
          <w:szCs w:val="20"/>
          <w:color w:val="auto"/>
        </w:rPr>
      </w:pPr>
    </w:p>
    <w:p>
      <w:pPr>
        <w:ind w:right="80" w:firstLine="636"/>
        <w:spacing w:after="0" w:line="249" w:lineRule="auto"/>
        <w:rPr>
          <w:sz w:val="20"/>
          <w:szCs w:val="20"/>
          <w:color w:val="auto"/>
        </w:rPr>
      </w:pPr>
      <w:r>
        <w:rPr>
          <w:rFonts w:ascii="Times New Roman" w:cs="Times New Roman" w:eastAsia="Times New Roman" w:hAnsi="Times New Roman"/>
          <w:sz w:val="18"/>
          <w:szCs w:val="18"/>
          <w:color w:val="auto"/>
        </w:rPr>
        <w:t>After the FDA evaluates a BLA and conducts inspections of manufacturing facilities where the investigational product and/or its drug substance will be produced, the FDA may issue an approval letter or a Complete Response Letter (CRL). An approval letter authorizes commercial marketing of the product with specific prescribing information for specific indications. A CRL will describe all of the deficiencies that the FDA has identified in the BLA, except that where the FDA determines that the data supporting the application are inadequate to support approval, the FDA may issue the CRL without first conducting required inspections, testing submitted product lots and/or reviewing proposed labeling. In issuing the CRL,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84" w:lineRule="exact"/>
        <w:rPr>
          <w:sz w:val="20"/>
          <w:szCs w:val="20"/>
          <w:color w:val="auto"/>
        </w:rPr>
      </w:pPr>
    </w:p>
    <w:p>
      <w:pPr>
        <w:ind w:right="40" w:firstLine="636"/>
        <w:spacing w:after="0" w:line="265" w:lineRule="auto"/>
        <w:rPr>
          <w:sz w:val="20"/>
          <w:szCs w:val="20"/>
          <w:color w:val="auto"/>
        </w:rPr>
      </w:pPr>
      <w:r>
        <w:rPr>
          <w:rFonts w:ascii="Times New Roman" w:cs="Times New Roman" w:eastAsia="Times New Roman" w:hAnsi="Times New Roman"/>
          <w:sz w:val="17"/>
          <w:szCs w:val="17"/>
          <w:color w:val="auto"/>
        </w:rPr>
        <w:t>If regulatory approval of a product is granted, such approval will be granted for particular indications and may entail limitations on the indicated uses for which such product may be marketed. For example, the FDA may approve the BLA with a REMS, to ensure the benefits of the product outweigh its risks, or otherwise limit the scope of any approval. A REMS is a safety strategy implemented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post-marketing trials and surveillance to further assess and monitor the product’s safety and effectiveness after commercialization and may limit further marketing of the product based on the results of these post-marketing studies.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15" w:lineRule="exact"/>
        <w:rPr>
          <w:sz w:val="20"/>
          <w:szCs w:val="20"/>
          <w:color w:val="auto"/>
        </w:rPr>
      </w:pPr>
    </w:p>
    <w:p>
      <w:pPr>
        <w:ind w:right="40" w:firstLine="636"/>
        <w:spacing w:after="0" w:line="251" w:lineRule="auto"/>
        <w:rPr>
          <w:sz w:val="20"/>
          <w:szCs w:val="20"/>
          <w:color w:val="auto"/>
        </w:rPr>
      </w:pPr>
      <w:r>
        <w:rPr>
          <w:rFonts w:ascii="Times New Roman" w:cs="Times New Roman" w:eastAsia="Times New Roman" w:hAnsi="Times New Roman"/>
          <w:sz w:val="18"/>
          <w:szCs w:val="18"/>
          <w:color w:val="auto"/>
        </w:rPr>
        <w:t>The FDA offers a number of expedited development and review programs for qualifying product candidates. For example, the fast track program is intended to expedite or facilitate the process for reviewing new products that are intended to treat a serious or life-threatening disease or condition and demonstrate the potential to address unmet medical needs for the disease or condition. Specifically, new biological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biologic may request that the FDA designate the biologic as a</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18"/>
          <w:szCs w:val="18"/>
          <w:color w:val="auto"/>
        </w:rPr>
        <w:t>fast track product at any time during the clinical development of the product. The sponsor of a fast track product has opportunities for more frequent interactions with the applicable FDA review team during product development and, once a BLA is submitted, the product candidate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79" w:lineRule="exact"/>
        <w:rPr>
          <w:sz w:val="20"/>
          <w:szCs w:val="20"/>
          <w:color w:val="auto"/>
        </w:rPr>
      </w:pPr>
    </w:p>
    <w:p>
      <w:pPr>
        <w:ind w:right="200" w:firstLine="636"/>
        <w:spacing w:after="0" w:line="251"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79" w:lineRule="exact"/>
        <w:rPr>
          <w:sz w:val="20"/>
          <w:szCs w:val="20"/>
          <w:color w:val="auto"/>
        </w:rPr>
      </w:pPr>
    </w:p>
    <w:p>
      <w:pPr>
        <w:ind w:right="100" w:firstLine="636"/>
        <w:spacing w:after="0" w:line="250" w:lineRule="auto"/>
        <w:rPr>
          <w:sz w:val="20"/>
          <w:szCs w:val="20"/>
          <w:color w:val="auto"/>
        </w:rPr>
      </w:pPr>
      <w:r>
        <w:rPr>
          <w:rFonts w:ascii="Times New Roman" w:cs="Times New Roman" w:eastAsia="Times New Roman" w:hAnsi="Times New Roman"/>
          <w:sz w:val="18"/>
          <w:szCs w:val="18"/>
          <w:color w:val="auto"/>
        </w:rPr>
        <w:t>Any marketing application for a drug or biologic submitted to the FDA for approval, including a product candidate with a fast track designation and/or breakthrough therapy designation, may be eligible for other types of FDA programs intended to expedite development and review, such as priority review and accelerated approval. A product candidate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biological product designated for priority review in an effort to facilitate the review. For original BLAs, priority review designation means the FDA’s goal is to take action on the marketing application within six months of the 60-day filing date (as compared to 10 months under standard review).</w:t>
      </w:r>
    </w:p>
    <w:p>
      <w:pPr>
        <w:spacing w:after="0" w:line="81" w:lineRule="exact"/>
        <w:rPr>
          <w:sz w:val="20"/>
          <w:szCs w:val="20"/>
          <w:color w:val="auto"/>
        </w:rPr>
      </w:pPr>
    </w:p>
    <w:p>
      <w:pPr>
        <w:ind w:right="60" w:firstLine="636"/>
        <w:spacing w:after="0" w:line="249" w:lineRule="auto"/>
        <w:rPr>
          <w:sz w:val="20"/>
          <w:szCs w:val="20"/>
          <w:color w:val="auto"/>
        </w:rPr>
      </w:pPr>
      <w:r>
        <w:rPr>
          <w:rFonts w:ascii="Times New Roman" w:cs="Times New Roman" w:eastAsia="Times New Roman" w:hAnsi="Times New Roman"/>
          <w:sz w:val="18"/>
          <w:szCs w:val="18"/>
          <w:color w:val="auto"/>
        </w:rPr>
        <w:t>Additionally,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trials to verify and describe the anticipated effect on irreversible morbidity or mortality or other clinical benefit. Products receiving accelerated approval may be subject to expedited withdrawal procedures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81" w:lineRule="exact"/>
        <w:rPr>
          <w:sz w:val="20"/>
          <w:szCs w:val="20"/>
          <w:color w:val="auto"/>
        </w:rPr>
      </w:pPr>
    </w:p>
    <w:p>
      <w:pPr>
        <w:ind w:right="20" w:firstLine="636"/>
        <w:spacing w:after="0" w:line="266" w:lineRule="auto"/>
        <w:rPr>
          <w:sz w:val="20"/>
          <w:szCs w:val="20"/>
          <w:color w:val="auto"/>
        </w:rPr>
      </w:pPr>
      <w:r>
        <w:rPr>
          <w:rFonts w:ascii="Times New Roman" w:cs="Times New Roman" w:eastAsia="Times New Roman" w:hAnsi="Times New Roman"/>
          <w:sz w:val="17"/>
          <w:szCs w:val="17"/>
          <w:color w:val="auto"/>
        </w:rPr>
        <w:t>In 2017, the FDA established a new regenerative medicine advanced therapy (RMAT) designation, which is intended to facilitate an efficient development program for, and expedite review of, any drug or biologic that meets the following criteria: (i) the drug or biologic qualifies as a RMAT, which is defined as a cell therapy, therapeutic tissue engineering product, human cell and tissue product, or any combination product using such therapies or products, with limited exceptions; (ii) the drug or biologic is intended to treat, modify, reverse or cure a serious or life-threatening disease or condition; and</w:t>
      </w:r>
    </w:p>
    <w:p>
      <w:pPr>
        <w:spacing w:after="0" w:line="1" w:lineRule="exact"/>
        <w:rPr>
          <w:sz w:val="20"/>
          <w:szCs w:val="20"/>
          <w:color w:val="auto"/>
        </w:rPr>
      </w:pPr>
    </w:p>
    <w:p>
      <w:pPr>
        <w:ind w:firstLine="6"/>
        <w:spacing w:after="0" w:line="246" w:lineRule="auto"/>
        <w:tabs>
          <w:tab w:leader="none" w:pos="30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clinical evidence indicates that the drug or biologic has the potential to address unmet medical needs for such a disease or condition. RMAT designation provides all the benefits of breakthrough therapy designation, including more frequent meetings with the FDA to discuss the development plan for the product candidate and eligibility for rolling review and priority review. Product candidates granted RMAT designation may also be eligible for accelerated approval on the basis of a surrogate or intermediate endpoint reasonably likely to predict long-term clinical benefit, or reliance upon data obtained from a meaningful number of clinical trial sites, including through expansion of trials to additional sites. RMAT-designated products that receive accelerated approval may, as appropriate, fulfill their post-approval requirements through submission of clinical evidence, clinical trials, patient registries or other sources of real-world evidence (such as electronic health records); through the collection of larger confirmatory data sets; or via post-approval monitoring of all patients treated with such therapy prior to approval of such therapy. Fast track designation, breakthrough therapy designation, priority review, accelerated approval and RMAT designation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115" w:lineRule="exact"/>
        <w:rPr>
          <w:sz w:val="20"/>
          <w:szCs w:val="20"/>
          <w:color w:val="auto"/>
        </w:rPr>
      </w:pPr>
    </w:p>
    <w:p>
      <w:pPr>
        <w:ind w:firstLine="636"/>
        <w:spacing w:after="0" w:line="251"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or biologic in the United States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Orphan drug designation does not convey any advantage in or shorten the duration of the regulatory review and approval process.</w:t>
      </w:r>
    </w:p>
    <w:p>
      <w:pPr>
        <w:spacing w:after="0" w:line="185" w:lineRule="exact"/>
        <w:rPr>
          <w:sz w:val="20"/>
          <w:szCs w:val="20"/>
          <w:color w:val="auto"/>
        </w:rPr>
      </w:pPr>
    </w:p>
    <w:p>
      <w:pPr>
        <w:ind w:right="40" w:firstLine="636"/>
        <w:spacing w:after="0" w:line="248" w:lineRule="auto"/>
        <w:rPr>
          <w:sz w:val="20"/>
          <w:szCs w:val="20"/>
          <w:color w:val="auto"/>
        </w:rPr>
      </w:pPr>
      <w:r>
        <w:rPr>
          <w:rFonts w:ascii="Times New Roman" w:cs="Times New Roman" w:eastAsia="Times New Roman" w:hAnsi="Times New Roman"/>
          <w:sz w:val="18"/>
          <w:szCs w:val="18"/>
          <w:color w:val="auto"/>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a particular drug or biologic for the disease for which it has such designation, the product is entitled to orphan product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w:t>
      </w:r>
    </w:p>
    <w:p>
      <w:pPr>
        <w:spacing w:after="0" w:line="193" w:lineRule="exact"/>
        <w:rPr>
          <w:sz w:val="20"/>
          <w:szCs w:val="20"/>
          <w:color w:val="auto"/>
        </w:rPr>
      </w:pPr>
    </w:p>
    <w:p>
      <w:pPr>
        <w:ind w:right="120" w:firstLine="636"/>
        <w:spacing w:after="0" w:line="252"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15" w:lineRule="exact"/>
        <w:rPr>
          <w:sz w:val="20"/>
          <w:szCs w:val="20"/>
          <w:color w:val="auto"/>
        </w:rPr>
      </w:pPr>
    </w:p>
    <w:p>
      <w:pPr>
        <w:ind w:right="200" w:firstLine="636"/>
        <w:spacing w:after="0" w:line="265" w:lineRule="auto"/>
        <w:rPr>
          <w:sz w:val="20"/>
          <w:szCs w:val="20"/>
          <w:color w:val="auto"/>
        </w:rPr>
      </w:pPr>
      <w:r>
        <w:rPr>
          <w:rFonts w:ascii="Times New Roman" w:cs="Times New Roman" w:eastAsia="Times New Roman" w:hAnsi="Times New Roman"/>
          <w:sz w:val="17"/>
          <w:szCs w:val="17"/>
          <w:color w:val="auto"/>
        </w:rPr>
        <w:t>Biologics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Biologic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GMP compliance. Changes to the manufacturing process or facility are strictly regulated, and, depending on the significance of the change, may require prior FDA approval before being implemented. FDA regulations also require investigation and correction of any deviations from cGMP and impose reporting requirements. Accordingly, manufacturers must continue to expend time, money and effort in the area of production and quality control to maintain compliance with cGMP and other aspects of regulatory compliance.</w:t>
      </w:r>
    </w:p>
    <w:p>
      <w:pPr>
        <w:spacing w:after="0" w:line="174" w:lineRule="exact"/>
        <w:rPr>
          <w:sz w:val="20"/>
          <w:szCs w:val="20"/>
          <w:color w:val="auto"/>
        </w:rPr>
      </w:pPr>
    </w:p>
    <w:p>
      <w:pPr>
        <w:ind w:right="100" w:firstLine="636"/>
        <w:spacing w:after="0" w:line="252"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79" w:lineRule="exact"/>
        <w:rPr>
          <w:sz w:val="20"/>
          <w:szCs w:val="20"/>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clinical trials;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40" w:right="68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11" w:lineRule="exact"/>
        <w:rPr>
          <w:rFonts w:ascii="Times New Roman" w:cs="Times New Roman" w:eastAsia="Times New Roman" w:hAnsi="Times New Roman"/>
          <w:sz w:val="18"/>
          <w:szCs w:val="18"/>
          <w:color w:val="auto"/>
        </w:rPr>
      </w:pPr>
    </w:p>
    <w:p>
      <w:pPr>
        <w:ind w:left="640" w:right="74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17" w:lineRule="exact"/>
        <w:rPr>
          <w:sz w:val="20"/>
          <w:szCs w:val="20"/>
          <w:color w:val="auto"/>
        </w:rPr>
      </w:pPr>
    </w:p>
    <w:p>
      <w:pPr>
        <w:ind w:right="20" w:firstLine="636"/>
        <w:spacing w:after="0" w:line="248"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Physicians may prescribe legally available products for uses that are not described in the product’s labeling and that differ from those tested and approved by the FDA. Such off-label uses are common across medical specialties. Physicians may believe, in their independent medical judgment,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Reference Product Exclusivity</w:t>
      </w:r>
    </w:p>
    <w:p>
      <w:pPr>
        <w:spacing w:after="0" w:line="115" w:lineRule="exact"/>
        <w:rPr>
          <w:sz w:val="20"/>
          <w:szCs w:val="20"/>
          <w:color w:val="auto"/>
        </w:rPr>
      </w:pPr>
    </w:p>
    <w:p>
      <w:pPr>
        <w:ind w:right="60" w:firstLine="636"/>
        <w:spacing w:after="0" w:line="255" w:lineRule="auto"/>
        <w:rPr>
          <w:sz w:val="20"/>
          <w:szCs w:val="20"/>
          <w:color w:val="auto"/>
        </w:rPr>
      </w:pPr>
      <w:r>
        <w:rPr>
          <w:rFonts w:ascii="Times New Roman" w:cs="Times New Roman" w:eastAsia="Times New Roman" w:hAnsi="Times New Roman"/>
          <w:sz w:val="18"/>
          <w:szCs w:val="18"/>
          <w:color w:val="auto"/>
        </w:rPr>
        <w:t>The Patient Protection and Affordable Care Act of 2010, as amended by the Health Care and Education Reconciliation Act of 2010 (collectively, the ACA), includes a subtitle called the Biologics Price Competition and Innovation Act (BPCIA), which created an abbreviated approval pathway for biological products that are biosimilar to or interchangeable with an FDA-licensed reference biological product. The FDA has issued several guidance documents outlining an approach to review and approval of biosimilars.</w:t>
      </w:r>
    </w:p>
    <w:p>
      <w:pPr>
        <w:spacing w:after="0" w:line="180" w:lineRule="exact"/>
        <w:rPr>
          <w:sz w:val="20"/>
          <w:szCs w:val="20"/>
          <w:color w:val="auto"/>
        </w:rPr>
      </w:pPr>
    </w:p>
    <w:p>
      <w:pPr>
        <w:ind w:right="20" w:firstLine="636"/>
        <w:spacing w:after="0" w:line="267" w:lineRule="auto"/>
        <w:rPr>
          <w:sz w:val="20"/>
          <w:szCs w:val="20"/>
          <w:color w:val="auto"/>
        </w:rPr>
      </w:pPr>
      <w:r>
        <w:rPr>
          <w:rFonts w:ascii="Times New Roman" w:cs="Times New Roman" w:eastAsia="Times New Roman" w:hAnsi="Times New Roman"/>
          <w:sz w:val="17"/>
          <w:szCs w:val="17"/>
          <w:color w:val="auto"/>
        </w:rPr>
        <w:t>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74" w:lineRule="exact"/>
        <w:rPr>
          <w:sz w:val="20"/>
          <w:szCs w:val="20"/>
          <w:color w:val="auto"/>
        </w:rPr>
      </w:pPr>
    </w:p>
    <w:p>
      <w:pPr>
        <w:ind w:firstLine="636"/>
        <w:spacing w:after="0" w:line="250"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twelve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nonclinical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87" w:lineRule="exact"/>
        <w:rPr>
          <w:sz w:val="20"/>
          <w:szCs w:val="20"/>
          <w:color w:val="auto"/>
        </w:rPr>
      </w:pPr>
    </w:p>
    <w:p>
      <w:pPr>
        <w:ind w:right="20" w:firstLine="636"/>
        <w:spacing w:after="0" w:line="255" w:lineRule="auto"/>
        <w:rPr>
          <w:sz w:val="20"/>
          <w:szCs w:val="20"/>
          <w:color w:val="auto"/>
        </w:rPr>
      </w:pPr>
      <w:r>
        <w:rPr>
          <w:rFonts w:ascii="Times New Roman" w:cs="Times New Roman" w:eastAsia="Times New Roman" w:hAnsi="Times New Roman"/>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 The BPCIA is complex and continues to be interpreted</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Outside of the United States</w:t>
      </w:r>
    </w:p>
    <w:p>
      <w:pPr>
        <w:spacing w:after="0" w:line="115" w:lineRule="exact"/>
        <w:rPr>
          <w:sz w:val="20"/>
          <w:szCs w:val="20"/>
          <w:color w:val="auto"/>
        </w:rPr>
      </w:pPr>
    </w:p>
    <w:p>
      <w:pPr>
        <w:ind w:firstLine="636"/>
        <w:spacing w:after="0" w:line="251"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regulations in other jurisdictions governing, among other things, clinical trials and any commercial sales and distribution of our products. Because biologically sourced raw materials are subject to unique contamination risks, their use may be restricted in some countries. 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w:t>
      </w:r>
    </w:p>
    <w:p>
      <w:pPr>
        <w:spacing w:after="0" w:line="185" w:lineRule="exact"/>
        <w:rPr>
          <w:sz w:val="20"/>
          <w:szCs w:val="20"/>
          <w:color w:val="auto"/>
        </w:rPr>
      </w:pPr>
    </w:p>
    <w:p>
      <w:pPr>
        <w:ind w:right="200" w:firstLine="636"/>
        <w:spacing w:after="0" w:line="249" w:lineRule="auto"/>
        <w:rPr>
          <w:sz w:val="20"/>
          <w:szCs w:val="20"/>
          <w:color w:val="auto"/>
        </w:rPr>
      </w:pPr>
      <w:r>
        <w:rPr>
          <w:rFonts w:ascii="Times New Roman" w:cs="Times New Roman" w:eastAsia="Times New Roman" w:hAnsi="Times New Roman"/>
          <w:sz w:val="18"/>
          <w:szCs w:val="18"/>
          <w:color w:val="auto"/>
        </w:rPr>
        <w:t>In the European Union, for example, a clinical trial application (CTA) must be submitted to each country’s national health authority and an independent ethics committee, much like the FDA and the IRB, respectively. Once the CTA is approved in accordance with the applicable requirements, clinical trial development may proceed. The requirements and process governing the conduct of clinical trials are to a significant extent harmonized at the European Union-level but could vary from country to country. In all cases, the clinical trials are conducted in accordance with GCP and the applicable regulatory requirements and the ethical principles that have their origin in the Declaration of Helsinki. The way clinical trials are conducted in the European Union underwent a major change when the Clinical Trial Regulation (Regulation (EU) 536/2014) came into application in January 2022. The Regulation harmonizes the assessment and supervision processes for clinical trials throughout the European Union via a Clinical Trials Information System, which will contain a centralized European Union portal and database.</w:t>
      </w:r>
    </w:p>
    <w:p>
      <w:pPr>
        <w:spacing w:after="0" w:line="190" w:lineRule="exact"/>
        <w:rPr>
          <w:sz w:val="20"/>
          <w:szCs w:val="20"/>
          <w:color w:val="auto"/>
        </w:rPr>
      </w:pPr>
    </w:p>
    <w:p>
      <w:pPr>
        <w:ind w:firstLine="636"/>
        <w:spacing w:after="0" w:line="249" w:lineRule="auto"/>
        <w:rPr>
          <w:sz w:val="20"/>
          <w:szCs w:val="20"/>
          <w:color w:val="auto"/>
        </w:rPr>
      </w:pPr>
      <w:r>
        <w:rPr>
          <w:rFonts w:ascii="Times New Roman" w:cs="Times New Roman" w:eastAsia="Times New Roman" w:hAnsi="Times New Roman"/>
          <w:sz w:val="18"/>
          <w:szCs w:val="18"/>
          <w:color w:val="auto"/>
        </w:rPr>
        <w:t>To obtain regulatory approval of an investigational biological product under European Union regulatory systems, we must submit a marketing authorization application. The application used to file the BLA in the United States is similar to that required in the European Union, with the exception of, among other things, country-specific document requirements. Innovative products that target an unmet medical need may be eligible for a number of expedited development and review programs in the European Union, such as the PRIME scheme, which provides incentives similar to the breakthrough therapy designation in the United States. Such products are generally eligible for accelerated assessment and may also benefit from different types of fast track approvals, such as a conditional marketing authorization or a marketing authorization under exceptional circumstances granted on the basis of less comprehensive clinical data than normally required (respectively in the likelihood that the sponsor will provide such data within an agreed timeframe or when comprehensive data cannot be obtained even after authorization).</w:t>
      </w:r>
    </w:p>
    <w:p>
      <w:pPr>
        <w:spacing w:after="0" w:line="190" w:lineRule="exact"/>
        <w:rPr>
          <w:sz w:val="20"/>
          <w:szCs w:val="20"/>
          <w:color w:val="auto"/>
        </w:rPr>
      </w:pPr>
    </w:p>
    <w:p>
      <w:pPr>
        <w:ind w:right="80" w:firstLine="636"/>
        <w:spacing w:after="0" w:line="265" w:lineRule="auto"/>
        <w:rPr>
          <w:sz w:val="20"/>
          <w:szCs w:val="20"/>
          <w:color w:val="auto"/>
        </w:rPr>
      </w:pPr>
      <w:r>
        <w:rPr>
          <w:rFonts w:ascii="Times New Roman" w:cs="Times New Roman" w:eastAsia="Times New Roman" w:hAnsi="Times New Roman"/>
          <w:sz w:val="17"/>
          <w:szCs w:val="17"/>
          <w:color w:val="auto"/>
        </w:rPr>
        <w:t>The European Union also provides opportunities for market exclusivity. For example, in the European Union, upon receiving marketing authorization, new chemical entities generally receive eight years of data exclusivity and an additional two years of market exclusivity. If granted, data exclusivity prevents regulatory authorities in the European Union from referencing the innovator’s data to assess a generic or biosimilar application. During the additional two-year period of market exclusivity, a generic or biosimilar marketing authorization can be submitted, and the innovator’s data may be referenced, but no generic or biosimilar product can be marketed until the expiration of the market exclusivity. However, there is no guarantee that a product will be considered by the European Union’s regulatory authorities to be a new chemical entity, and products may not qualify for data exclusivity. Products receiving orphan designation in the European Union can receive ten years of market exclusivity, during which time no similar medicinal product for the same indication may be placed on the market. An orphan product can also obtain an additional two years of market exclusivity in the European Union for pediatric trials. No extension to any supplementary protection certificate can be granted on the basis of pediatric trials for orphan indications.</w:t>
      </w:r>
    </w:p>
    <w:p>
      <w:pPr>
        <w:spacing w:after="0" w:line="177" w:lineRule="exact"/>
        <w:rPr>
          <w:sz w:val="20"/>
          <w:szCs w:val="20"/>
          <w:color w:val="auto"/>
        </w:rPr>
      </w:pPr>
    </w:p>
    <w:p>
      <w:pPr>
        <w:ind w:right="20" w:firstLine="636"/>
        <w:spacing w:after="0" w:line="250"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460"/>
        <w:spacing w:after="0" w:line="255" w:lineRule="auto"/>
        <w:rPr>
          <w:sz w:val="20"/>
          <w:szCs w:val="20"/>
          <w:color w:val="auto"/>
        </w:rPr>
      </w:pPr>
      <w:r>
        <w:rPr>
          <w:rFonts w:ascii="Times New Roman" w:cs="Times New Roman" w:eastAsia="Times New Roman" w:hAnsi="Times New Roman"/>
          <w:sz w:val="18"/>
          <w:szCs w:val="18"/>
          <w:color w:val="auto"/>
        </w:rPr>
        <w:t>authorization, entitled to ten years of market exclusivity for the approved therapeutic indication. The application for orphan drug designation must be submitted before the application for marketing authorization. The applicant will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180" w:lineRule="exact"/>
        <w:rPr>
          <w:sz w:val="20"/>
          <w:szCs w:val="20"/>
          <w:color w:val="auto"/>
        </w:rPr>
      </w:pPr>
    </w:p>
    <w:p>
      <w:pPr>
        <w:ind w:firstLine="636"/>
        <w:spacing w:after="0" w:line="259" w:lineRule="auto"/>
        <w:rPr>
          <w:sz w:val="20"/>
          <w:szCs w:val="20"/>
          <w:color w:val="auto"/>
        </w:rPr>
      </w:pPr>
      <w:r>
        <w:rPr>
          <w:rFonts w:ascii="Times New Roman" w:cs="Times New Roman" w:eastAsia="Times New Roman" w:hAnsi="Times New Roman"/>
          <w:sz w:val="18"/>
          <w:szCs w:val="18"/>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w:t>
      </w:r>
    </w:p>
    <w:p>
      <w:pPr>
        <w:spacing w:after="0" w:line="72" w:lineRule="exact"/>
        <w:rPr>
          <w:sz w:val="20"/>
          <w:szCs w:val="20"/>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that its product, although similar, is safer, more effective or otherwise clinically superior;</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applicant consents to a second orphan medicinal product application; or</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applicant cannot supply enough orphan medicinal product.</w:t>
      </w:r>
    </w:p>
    <w:p>
      <w:pPr>
        <w:spacing w:after="0" w:line="217" w:lineRule="exact"/>
        <w:rPr>
          <w:sz w:val="20"/>
          <w:szCs w:val="20"/>
          <w:color w:val="auto"/>
        </w:rPr>
      </w:pPr>
    </w:p>
    <w:p>
      <w:pPr>
        <w:ind w:right="80" w:firstLine="636"/>
        <w:spacing w:after="0" w:line="271" w:lineRule="auto"/>
        <w:rPr>
          <w:sz w:val="20"/>
          <w:szCs w:val="20"/>
          <w:color w:val="auto"/>
        </w:rPr>
      </w:pPr>
      <w:r>
        <w:rPr>
          <w:rFonts w:ascii="Times New Roman" w:cs="Times New Roman" w:eastAsia="Times New Roman" w:hAnsi="Times New Roman"/>
          <w:sz w:val="17"/>
          <w:szCs w:val="17"/>
          <w:color w:val="auto"/>
        </w:rPr>
        <w:t>The medicinal products we are developing, which are based on genes, cells or tissues, may be considered advanced therapy medicinal products (ATMPs) in the European Union if they meet the scientific criteria for defining an ATMP. The principles of the aforementioned medicines legislation apply to ATMPs. All ATMPs must obtain a marketing authorization from the EMA and are regulated through the centralized authorization procedure. Regulation (EC) No 1394/2007 (the ATMP Regulation) provides specific incentives to accelerate the development of such products, including fee reductions for scientific advice, an ATMP classification procedure (for all developers) and a certification procedure for quality and nonclinical data (for SMEs only).</w:t>
      </w:r>
    </w:p>
    <w:p>
      <w:pPr>
        <w:spacing w:after="0" w:line="168" w:lineRule="exact"/>
        <w:rPr>
          <w:sz w:val="20"/>
          <w:szCs w:val="20"/>
          <w:color w:val="auto"/>
        </w:rPr>
      </w:pPr>
    </w:p>
    <w:p>
      <w:pPr>
        <w:ind w:right="260" w:firstLine="636"/>
        <w:spacing w:after="0" w:line="255" w:lineRule="auto"/>
        <w:rPr>
          <w:sz w:val="20"/>
          <w:szCs w:val="20"/>
          <w:color w:val="auto"/>
        </w:rPr>
      </w:pPr>
      <w:r>
        <w:rPr>
          <w:rFonts w:ascii="Times New Roman" w:cs="Times New Roman" w:eastAsia="Times New Roman" w:hAnsi="Times New Roman"/>
          <w:sz w:val="18"/>
          <w:szCs w:val="18"/>
          <w:color w:val="auto"/>
        </w:rPr>
        <w:t>If tissues and cells are being used as starting materials in a medicinal product we may also need to comply with the requirements of Directive 2004/23/EC (the European Tissues and Cells Directive) covering standards for donation, procurement and testing, processing, preservation, storage and distribution of human tissues and cells, as well as its technical implementing directives; and Directive 2015/566, as regards the procedures for verifying the equivalent standards of quality and safety of imported tissues and cells.</w:t>
      </w:r>
    </w:p>
    <w:p>
      <w:pPr>
        <w:spacing w:after="0" w:line="180" w:lineRule="exact"/>
        <w:rPr>
          <w:sz w:val="20"/>
          <w:szCs w:val="20"/>
          <w:color w:val="auto"/>
        </w:rPr>
      </w:pPr>
    </w:p>
    <w:p>
      <w:pPr>
        <w:ind w:right="20" w:firstLine="636"/>
        <w:spacing w:after="0" w:line="259" w:lineRule="auto"/>
        <w:rPr>
          <w:sz w:val="20"/>
          <w:szCs w:val="20"/>
          <w:color w:val="auto"/>
        </w:rPr>
      </w:pPr>
      <w:r>
        <w:rPr>
          <w:rFonts w:ascii="Times New Roman" w:cs="Times New Roman" w:eastAsia="Times New Roman" w:hAnsi="Times New Roman"/>
          <w:sz w:val="18"/>
          <w:szCs w:val="18"/>
          <w:color w:val="auto"/>
        </w:rPr>
        <w:t>In the European Union, early access mechanisms for innovative medicines (such as compassionate use programs and named patient supplies), pricing and reimbursement and promotion and advertising are subject to national regulations and oversight by national competent authorities and therefore significantly vary from country to country.</w:t>
      </w:r>
    </w:p>
    <w:p>
      <w:pPr>
        <w:spacing w:after="0" w:line="178" w:lineRule="exact"/>
        <w:rPr>
          <w:sz w:val="20"/>
          <w:szCs w:val="20"/>
          <w:color w:val="auto"/>
        </w:rPr>
      </w:pPr>
    </w:p>
    <w:p>
      <w:pPr>
        <w:ind w:right="240" w:firstLine="636"/>
        <w:spacing w:after="0" w:line="255" w:lineRule="auto"/>
        <w:rPr>
          <w:sz w:val="20"/>
          <w:szCs w:val="20"/>
          <w:color w:val="auto"/>
        </w:rPr>
      </w:pPr>
      <w:r>
        <w:rPr>
          <w:rFonts w:ascii="Times New Roman" w:cs="Times New Roman" w:eastAsia="Times New Roman" w:hAnsi="Times New Roman"/>
          <w:sz w:val="18"/>
          <w:szCs w:val="18"/>
          <w:color w:val="auto"/>
        </w:rPr>
        <w:t>Sanctions for non-compliance with the aforementioned requirements, which may include administrative and criminal penalties, are generally determined and enforced at national level. However, under the European Union financial penalties regime, the EMA can investigate and report on alleged breaches of the European Union pharmaceutical rules by holders of a marketing authorization for centrally authorized medicinal products and the European Commission could adopt decisions imposing significant financial penalties on infringing marketing authorization holders.</w:t>
      </w:r>
    </w:p>
    <w:p>
      <w:pPr>
        <w:spacing w:after="0" w:line="180" w:lineRule="exact"/>
        <w:rPr>
          <w:sz w:val="20"/>
          <w:szCs w:val="20"/>
          <w:color w:val="auto"/>
        </w:rPr>
      </w:pPr>
    </w:p>
    <w:p>
      <w:pPr>
        <w:ind w:right="280" w:firstLine="636"/>
        <w:spacing w:after="0" w:line="259" w:lineRule="auto"/>
        <w:rPr>
          <w:sz w:val="20"/>
          <w:szCs w:val="20"/>
          <w:color w:val="auto"/>
        </w:rPr>
      </w:pPr>
      <w:r>
        <w:rPr>
          <w:rFonts w:ascii="Times New Roman" w:cs="Times New Roman" w:eastAsia="Times New Roman" w:hAnsi="Times New Roman"/>
          <w:sz w:val="18"/>
          <w:szCs w:val="18"/>
          <w:color w:val="auto"/>
        </w:rPr>
        <w:t>The United Kingdom left the European Union on January 31, 2020 (Brexit). Following the Transition Period which ended on December 31, 2020, Brexit could materially impact the regulatory regime with respect to the development, manufacture, importation, approval and commercialization of our product candidates in the United Kingdom in the coming years.</w:t>
      </w:r>
    </w:p>
    <w:p>
      <w:pPr>
        <w:spacing w:after="0" w:line="178" w:lineRule="exact"/>
        <w:rPr>
          <w:sz w:val="20"/>
          <w:szCs w:val="20"/>
          <w:color w:val="auto"/>
        </w:rPr>
      </w:pPr>
    </w:p>
    <w:p>
      <w:pPr>
        <w:ind w:right="320" w:firstLine="636"/>
        <w:spacing w:after="0" w:line="282" w:lineRule="auto"/>
        <w:rPr>
          <w:sz w:val="20"/>
          <w:szCs w:val="20"/>
          <w:color w:val="auto"/>
        </w:rPr>
      </w:pPr>
      <w:r>
        <w:rPr>
          <w:rFonts w:ascii="Times New Roman" w:cs="Times New Roman" w:eastAsia="Times New Roman" w:hAnsi="Times New Roman"/>
          <w:sz w:val="17"/>
          <w:szCs w:val="17"/>
          <w:color w:val="auto"/>
        </w:rPr>
        <w:t>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59" w:lineRule="exact"/>
        <w:rPr>
          <w:sz w:val="20"/>
          <w:szCs w:val="20"/>
          <w:color w:val="auto"/>
        </w:rPr>
      </w:pPr>
    </w:p>
    <w:p>
      <w:pPr>
        <w:ind w:right="240" w:firstLine="636"/>
        <w:spacing w:after="0" w:line="274"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15" w:lineRule="exact"/>
        <w:rPr>
          <w:sz w:val="20"/>
          <w:szCs w:val="20"/>
          <w:color w:val="auto"/>
        </w:rPr>
      </w:pPr>
    </w:p>
    <w:p>
      <w:pPr>
        <w:ind w:right="120" w:firstLine="636"/>
        <w:spacing w:after="0" w:line="274"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and may</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constrain the financial arrangements and relationships through which we research, sell, market and distribute any products for which we obtain marketing approval. Such laws include, without limitation, federal and state anti-kickback, fraud and abuse, false claims, data privacy and security, price reporting and physician and other health care provider transparency laws and regulations.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imprisonment.</w:t>
      </w:r>
    </w:p>
    <w:p>
      <w:pPr>
        <w:spacing w:after="0" w:line="185" w:lineRule="exact"/>
        <w:rPr>
          <w:sz w:val="20"/>
          <w:szCs w:val="20"/>
          <w:color w:val="auto"/>
        </w:rPr>
      </w:pPr>
    </w:p>
    <w:p>
      <w:pPr>
        <w:ind w:right="160" w:firstLine="636"/>
        <w:spacing w:after="0" w:line="265" w:lineRule="auto"/>
        <w:rPr>
          <w:sz w:val="20"/>
          <w:szCs w:val="20"/>
          <w:color w:val="auto"/>
        </w:rPr>
      </w:pPr>
      <w:r>
        <w:rPr>
          <w:rFonts w:ascii="Times New Roman" w:cs="Times New Roman" w:eastAsia="Times New Roman" w:hAnsi="Times New Roman"/>
          <w:sz w:val="17"/>
          <w:szCs w:val="17"/>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but the exceptions and safe harbors are drawn narrowly and require strict compliance in order to offer protection.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w:t>
      </w:r>
    </w:p>
    <w:p>
      <w:pPr>
        <w:spacing w:after="0" w:line="174" w:lineRule="exact"/>
        <w:rPr>
          <w:sz w:val="20"/>
          <w:szCs w:val="20"/>
          <w:color w:val="auto"/>
        </w:rPr>
      </w:pPr>
    </w:p>
    <w:p>
      <w:pPr>
        <w:ind w:firstLine="636"/>
        <w:spacing w:after="0" w:line="252" w:lineRule="auto"/>
        <w:rPr>
          <w:sz w:val="20"/>
          <w:szCs w:val="20"/>
          <w:color w:val="auto"/>
        </w:rPr>
      </w:pPr>
      <w:r>
        <w:rPr>
          <w:rFonts w:ascii="Times New Roman" w:cs="Times New Roman" w:eastAsia="Times New Roman" w:hAnsi="Times New Roman"/>
          <w:sz w:val="18"/>
          <w:szCs w:val="18"/>
          <w:color w:val="auto"/>
        </w:rPr>
        <w:t>Additionally, the intent standard under the Anti-Kickback Statute and the criminal healthcare fraud statutes under the federal Health Insurance Portability and Accountability Act of 1996 (HIPAA) was amended by the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(FCA) (discussed below).</w:t>
      </w:r>
    </w:p>
    <w:p>
      <w:pPr>
        <w:spacing w:after="0" w:line="185" w:lineRule="exact"/>
        <w:rPr>
          <w:sz w:val="20"/>
          <w:szCs w:val="20"/>
          <w:color w:val="auto"/>
        </w:rPr>
      </w:pPr>
    </w:p>
    <w:p>
      <w:pPr>
        <w:ind w:right="80" w:firstLine="636"/>
        <w:spacing w:after="0" w:line="251" w:lineRule="auto"/>
        <w:rPr>
          <w:sz w:val="20"/>
          <w:szCs w:val="20"/>
          <w:color w:val="auto"/>
        </w:rPr>
      </w:pPr>
      <w:r>
        <w:rPr>
          <w:rFonts w:ascii="Times New Roman" w:cs="Times New Roman" w:eastAsia="Times New Roman" w:hAnsi="Times New Roman"/>
          <w:sz w:val="18"/>
          <w:szCs w:val="18"/>
          <w:color w:val="auto"/>
        </w:rPr>
        <w:t>The FCA prohibits,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Pharmaceutical and other healthcare companies have been prosecuted under these laws for allegedly providing free product to customers with the expectation that the customers would bill federal programs for the product and for causing false claims to be submitted because of the companies’ marketing of the product for unapproved, and thus non-covered, uses.</w:t>
      </w:r>
    </w:p>
    <w:p>
      <w:pPr>
        <w:spacing w:after="0" w:line="185" w:lineRule="exact"/>
        <w:rPr>
          <w:sz w:val="20"/>
          <w:szCs w:val="20"/>
          <w:color w:val="auto"/>
        </w:rPr>
      </w:pPr>
    </w:p>
    <w:p>
      <w:pPr>
        <w:ind w:right="40" w:firstLine="636"/>
        <w:spacing w:after="0" w:line="251" w:lineRule="auto"/>
        <w:rPr>
          <w:sz w:val="20"/>
          <w:szCs w:val="20"/>
          <w:color w:val="auto"/>
        </w:rPr>
      </w:pPr>
      <w:r>
        <w:rPr>
          <w:rFonts w:ascii="Times New Roman" w:cs="Times New Roman" w:eastAsia="Times New Roman" w:hAnsi="Times New Roman"/>
          <w:sz w:val="18"/>
          <w:szCs w:val="18"/>
          <w:color w:val="auto"/>
        </w:rPr>
        <w:t>HIPAA also created new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Also, many states have similar fraud and abuse statutes or regulations that apply to items and services reimbursed under Medicaid and other state programs, or, in several states, apply regardless of the payor.</w:t>
      </w:r>
    </w:p>
    <w:p>
      <w:pPr>
        <w:spacing w:after="0" w:line="185" w:lineRule="exact"/>
        <w:rPr>
          <w:sz w:val="20"/>
          <w:szCs w:val="20"/>
          <w:color w:val="auto"/>
        </w:rPr>
      </w:pPr>
    </w:p>
    <w:p>
      <w:pPr>
        <w:ind w:right="20" w:firstLine="636"/>
        <w:spacing w:after="0" w:line="252" w:lineRule="auto"/>
        <w:rPr>
          <w:sz w:val="20"/>
          <w:szCs w:val="20"/>
          <w:color w:val="auto"/>
        </w:rPr>
      </w:pPr>
      <w:r>
        <w:rPr>
          <w:rFonts w:ascii="Times New Roman" w:cs="Times New Roman" w:eastAsia="Times New Roman" w:hAnsi="Times New Roman"/>
          <w:sz w:val="18"/>
          <w:szCs w:val="18"/>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annually report information related to certain payments or other transfers of value made or distributed to physicians (defined to include doctors, dentists, optometrists, podiatrists and chiropractors), other health care professionals (such as physician assistants and nurse practitioners) and teaching hospitals and certain ownership and investment interests held by these physicians and their immediate family members.</w:t>
      </w:r>
    </w:p>
    <w:p>
      <w:pPr>
        <w:spacing w:after="0" w:line="185" w:lineRule="exact"/>
        <w:rPr>
          <w:sz w:val="20"/>
          <w:szCs w:val="20"/>
          <w:color w:val="auto"/>
        </w:rPr>
      </w:pPr>
    </w:p>
    <w:p>
      <w:pPr>
        <w:ind w:right="200" w:firstLine="636"/>
        <w:spacing w:after="0" w:line="255" w:lineRule="auto"/>
        <w:rPr>
          <w:sz w:val="20"/>
          <w:szCs w:val="20"/>
          <w:color w:val="auto"/>
        </w:rPr>
      </w:pPr>
      <w:r>
        <w:rPr>
          <w:rFonts w:ascii="Times New Roman" w:cs="Times New Roman" w:eastAsia="Times New Roman" w:hAnsi="Times New Roman"/>
          <w:sz w:val="18"/>
          <w:szCs w:val="18"/>
          <w:color w:val="auto"/>
        </w:rPr>
        <w:t>We may also be subject to data privacy and security regulations by both the federal government and the states in which we conduct our business. HIPAA, as amended by the Health Information Technology for Economic and Clinical Health Act (HITECH) and its implementing regulations, impose requirements on covered entities, including certain healthcare providers, health plans, healthcare clearinghouses and their respective business associates that create, receive,</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maintain or transmit individually identifiable health information for or on behalf of a covered entity as well as their covered subcontractors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190" w:lineRule="exact"/>
        <w:rPr>
          <w:sz w:val="20"/>
          <w:szCs w:val="20"/>
          <w:color w:val="auto"/>
        </w:rPr>
      </w:pPr>
    </w:p>
    <w:p>
      <w:pPr>
        <w:ind w:firstLine="636"/>
        <w:spacing w:after="0" w:line="248" w:lineRule="auto"/>
        <w:rPr>
          <w:sz w:val="20"/>
          <w:szCs w:val="20"/>
          <w:color w:val="auto"/>
        </w:rPr>
      </w:pPr>
      <w:r>
        <w:rPr>
          <w:rFonts w:ascii="Times New Roman" w:cs="Times New Roman" w:eastAsia="Times New Roman" w:hAnsi="Times New Roman"/>
          <w:sz w:val="18"/>
          <w:szCs w:val="18"/>
          <w:color w:val="auto"/>
        </w:rPr>
        <w:t>In order to distribute products commercially, we must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track and report gifts, compensation and other remuneration made to physicians and other healthcare providers, clinical trials and other activities, and/or register their sales representatives, as well as to prohibit pharmacies and other healthcare entities from providing certain physician prescribing data to pharmaceutical companies for use in sales and marketing, and to prohibit certain other sales and marketing practices. All of our activities are potentially subject to federal and state consumer protection and unfair competition laws.</w:t>
      </w:r>
    </w:p>
    <w:p>
      <w:pPr>
        <w:spacing w:after="0" w:line="193" w:lineRule="exact"/>
        <w:rPr>
          <w:sz w:val="20"/>
          <w:szCs w:val="20"/>
          <w:color w:val="auto"/>
        </w:rPr>
      </w:pPr>
    </w:p>
    <w:p>
      <w:pPr>
        <w:ind w:right="180" w:firstLine="636"/>
        <w:spacing w:after="0" w:line="251"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federal and state healthcare laws described above or any other governmental regulations that apply to us, we may be subject to significant penalties, including without limitation, civil, criminal and/or administrative penalties, damages, fines, disgorgement,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15" w:lineRule="exact"/>
        <w:rPr>
          <w:sz w:val="20"/>
          <w:szCs w:val="20"/>
          <w:color w:val="auto"/>
        </w:rPr>
      </w:pPr>
    </w:p>
    <w:p>
      <w:pPr>
        <w:ind w:firstLine="636"/>
        <w:spacing w:after="0" w:line="247" w:lineRule="auto"/>
        <w:rPr>
          <w:sz w:val="20"/>
          <w:szCs w:val="20"/>
          <w:color w:val="auto"/>
        </w:rPr>
      </w:pPr>
      <w:r>
        <w:rPr>
          <w:rFonts w:ascii="Times New Roman" w:cs="Times New Roman" w:eastAsia="Times New Roman" w:hAnsi="Times New Roman"/>
          <w:sz w:val="18"/>
          <w:szCs w:val="18"/>
          <w:color w:val="auto"/>
        </w:rPr>
        <w:t>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Reimbursement by a third-party payor may depend upon a number of factors, including the third-party payor’s determination that a product is safe, effective and medically necessary; appropriate for the specific patient; cost-effective; supported by peer-reviewed medical journals; included in clinical practice guidelines; and neither cosmetic, experimental, nor investigational. A third-party payor could also require that certain lines of therapy be completed or failed prior to reimbursing our therapy. The principal decisions about reimbursement for new medicines are typically made by the Centers for Medicare &amp; Medicaid Services (CMS), an agency within the U.S. Department of Health and Human Services (HHS). CMS decides whether and to what extent products will be covered and reimbursed under Medicare and private payors tend to follow CMS to a substantial degree. Third-party payors determine which products and procedures they will cover and establish reimbursement levels. Even if a third-party payor covers a particular product or procedure, the resulting reimbursement payment rates may not be adequate. These third-party payors are increasingly reducing coverage and reimbursement for medical products, drugs and services. In addition, the U.S.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and also have a material adverse effect on sales.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15" w:lineRule="exact"/>
        <w:rPr>
          <w:sz w:val="20"/>
          <w:szCs w:val="20"/>
          <w:color w:val="auto"/>
        </w:rPr>
      </w:pPr>
    </w:p>
    <w:p>
      <w:pPr>
        <w:ind w:right="140" w:firstLine="636"/>
        <w:spacing w:after="0" w:line="259" w:lineRule="auto"/>
        <w:rPr>
          <w:sz w:val="20"/>
          <w:szCs w:val="20"/>
          <w:color w:val="auto"/>
        </w:rPr>
      </w:pPr>
      <w:r>
        <w:rPr>
          <w:rFonts w:ascii="Times New Roman" w:cs="Times New Roman" w:eastAsia="Times New Roman" w:hAnsi="Times New Roman"/>
          <w:sz w:val="18"/>
          <w:szCs w:val="18"/>
          <w:color w:val="auto"/>
        </w:rPr>
        <w:t>In the United States, in March 2010, the ACA was enacted, which substantially changed the way healthcare is financed by both governmental and private insurers, and significantly affected the pharmaceutical industry. The ACA contained a number of provisions, including those governing enrollment in federal healthcare programs, reimbursement adjustments and changes to fraud and abuse laws. For example, the ACA:</w:t>
      </w:r>
    </w:p>
    <w:p>
      <w:pPr>
        <w:spacing w:after="0" w:line="72" w:lineRule="exact"/>
        <w:rPr>
          <w:sz w:val="20"/>
          <w:szCs w:val="20"/>
          <w:color w:val="auto"/>
        </w:rPr>
      </w:pPr>
    </w:p>
    <w:p>
      <w:pPr>
        <w:ind w:left="640" w:right="12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minimum level of Medicaid rebates payable by manufacturers of brand name drugs from 15.1% to 23.1% of the average manufacturer price;</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collection of rebates for drugs paid by Medicaid managed care organizations;</w:t>
      </w:r>
    </w:p>
    <w:p>
      <w:pPr>
        <w:spacing w:after="0" w:line="111" w:lineRule="exact"/>
        <w:rPr>
          <w:rFonts w:ascii="Times New Roman" w:cs="Times New Roman" w:eastAsia="Times New Roman" w:hAnsi="Times New Roman"/>
          <w:sz w:val="18"/>
          <w:szCs w:val="18"/>
          <w:color w:val="auto"/>
        </w:rPr>
      </w:pPr>
    </w:p>
    <w:p>
      <w:pPr>
        <w:ind w:left="640" w:right="40" w:hanging="316"/>
        <w:spacing w:after="0" w:line="259"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manufacturers to participate in a coverage gap discount program, under which they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71" w:lineRule="exact"/>
        <w:rPr>
          <w:rFonts w:ascii="Times New Roman" w:cs="Times New Roman" w:eastAsia="Times New Roman" w:hAnsi="Times New Roman"/>
          <w:sz w:val="18"/>
          <w:szCs w:val="18"/>
          <w:color w:val="auto"/>
        </w:rPr>
      </w:pPr>
    </w:p>
    <w:p>
      <w:pPr>
        <w:ind w:left="640" w:right="5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 non-deductible annual fee on pharmaceutical manufacturers or importers who sell “branded prescription drugs” to specified federal government programs;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entities eligible for discounts under the Public Health Service pharmaceutical pricing program; and</w:t>
      </w:r>
    </w:p>
    <w:p>
      <w:pPr>
        <w:spacing w:after="0" w:line="217"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 new Patient-Centered Outcomes Research Institute to oversee, identify priorities in and conduct comparative clinical effectiveness research, along with funding for such research.</w:t>
      </w:r>
    </w:p>
    <w:p>
      <w:pPr>
        <w:spacing w:after="0" w:line="163" w:lineRule="exact"/>
        <w:rPr>
          <w:sz w:val="20"/>
          <w:szCs w:val="20"/>
          <w:color w:val="auto"/>
        </w:rPr>
      </w:pPr>
    </w:p>
    <w:p>
      <w:pPr>
        <w:ind w:right="40" w:firstLine="636"/>
        <w:spacing w:after="0" w:line="263" w:lineRule="auto"/>
        <w:rPr>
          <w:sz w:val="20"/>
          <w:szCs w:val="20"/>
          <w:color w:val="auto"/>
        </w:rPr>
      </w:pPr>
      <w:r>
        <w:rPr>
          <w:rFonts w:ascii="Times New Roman" w:cs="Times New Roman" w:eastAsia="Times New Roman" w:hAnsi="Times New Roman"/>
          <w:sz w:val="17"/>
          <w:szCs w:val="17"/>
          <w:color w:val="auto"/>
        </w:rPr>
        <w:t>There have been executive, judicial and Congressional challenges to certain aspects of the ACA. For example, the Tax Act was enacted, which includes a provision repealing, effective January 1, 2019, the tax-based shared responsibility payment imposed by the ACA on certain individuals who fail to maintain qualifying health coverage for all or part of a year that is commonly referred to as the “individual mandate.” On June 17, 2021, the U.S. Supreme Court dismissed a challenge on procedural grounds that argued the ACA is unconstitutional in its entirety because the “individual mandate” was repealed by Congress. President Biden issued an executive order to initiate a special enrollment period from February 15, 2021 through August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Further, on August 16, 2022, President Biden signed the Inflation Reduction Act of 2022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any such additional challenges and healthcare reform measures of the Biden administration will impact the ACA and our business.</w:t>
      </w:r>
    </w:p>
    <w:p>
      <w:pPr>
        <w:spacing w:after="0" w:line="183" w:lineRule="exact"/>
        <w:rPr>
          <w:sz w:val="20"/>
          <w:szCs w:val="20"/>
          <w:color w:val="auto"/>
        </w:rPr>
      </w:pPr>
    </w:p>
    <w:p>
      <w:pPr>
        <w:ind w:right="120" w:firstLine="636"/>
        <w:spacing w:after="0" w:line="250" w:lineRule="auto"/>
        <w:rPr>
          <w:sz w:val="20"/>
          <w:szCs w:val="20"/>
          <w:color w:val="auto"/>
        </w:rPr>
      </w:pPr>
      <w:r>
        <w:rPr>
          <w:rFonts w:ascii="Times New Roman" w:cs="Times New Roman" w:eastAsia="Times New Roman" w:hAnsi="Times New Roman"/>
          <w:sz w:val="18"/>
          <w:szCs w:val="18"/>
          <w:color w:val="auto"/>
        </w:rPr>
        <w:t>Other legislative changes have also been proposed and adopted in the United States since the ACA was enacted. On August 2, 2011, the Budget Control Act of 2011, among other things, included aggregate reductions to Medicare payments to providers of 2% per fiscal year, which began in 2013 and will remain in effect through 2031. However, COVID-19 relief legislation suspended the 2% Medicare sequester from May 1, 2020 through March 31, 2022. Under current legislation, the actual reduction in Medicare payments will vary from 1% in 2022 to up to 4% in the final fiscal year of this sequester. 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87" w:lineRule="exact"/>
        <w:rPr>
          <w:sz w:val="20"/>
          <w:szCs w:val="20"/>
          <w:color w:val="auto"/>
        </w:rPr>
      </w:pPr>
    </w:p>
    <w:p>
      <w:pPr>
        <w:ind w:firstLine="636"/>
        <w:spacing w:after="0" w:line="267" w:lineRule="auto"/>
        <w:rPr>
          <w:sz w:val="20"/>
          <w:szCs w:val="20"/>
          <w:color w:val="auto"/>
        </w:rPr>
      </w:pPr>
      <w:r>
        <w:rPr>
          <w:rFonts w:ascii="Times New Roman" w:cs="Times New Roman" w:eastAsia="Times New Roman" w:hAnsi="Times New Roman"/>
          <w:sz w:val="17"/>
          <w:szCs w:val="17"/>
          <w:color w:val="auto"/>
        </w:rPr>
        <w:t>There has been heightened governmental scrutiny recently over the manner in which pharmaceutical companies set prices for their marketed products, which has resulted in several Congressional inquiries and proposed federal legislation, as well as state efforts, designed to, among other things, bring more transparency to product pricing, reduce the cost of prescription drugs under Medicare, review the relationship between pricing and manufacturer patient programs, and reform government program reimbursement methodologies for drug products. In addition, the IRA, among other things, (1) directs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it is likely to have a significant impact on the pharmaceutical industry.</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Further, the Biden administration released an additional executive order on October 14, 2022, directing HHS to submit a report within ninety (90) days on how the Center for Medicare and Medicaid Innovation can be further leveraged to test new models for lowering drug costs for Medicare and Medicaid beneficiaries. It is unclear whether this executive order or similar policy initiatives will be implemented in the future.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5" w:lineRule="exact"/>
        <w:rPr>
          <w:sz w:val="20"/>
          <w:szCs w:val="20"/>
          <w:color w:val="auto"/>
        </w:rPr>
      </w:pPr>
    </w:p>
    <w:p>
      <w:pPr>
        <w:ind w:right="20" w:firstLine="636"/>
        <w:spacing w:after="0" w:line="251" w:lineRule="auto"/>
        <w:rPr>
          <w:sz w:val="20"/>
          <w:szCs w:val="20"/>
          <w:color w:val="auto"/>
        </w:rPr>
      </w:pPr>
      <w:r>
        <w:rPr>
          <w:rFonts w:ascii="Times New Roman" w:cs="Times New Roman" w:eastAsia="Times New Roman" w:hAnsi="Times New Roman"/>
          <w:sz w:val="18"/>
          <w:szCs w:val="18"/>
          <w:color w:val="auto"/>
        </w:rPr>
        <w:t>We anticipate that these new laws will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(if approved). In addition, it is possible that there will be further legislation or regulation that could harm our business, financial condition and results of operations. For example, it is possible that additional governmental action is taken in response to address the COVID-19 pandemic.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Privacy and Security Laws</w:t>
      </w:r>
    </w:p>
    <w:p>
      <w:pPr>
        <w:spacing w:after="0" w:line="115" w:lineRule="exact"/>
        <w:rPr>
          <w:sz w:val="20"/>
          <w:szCs w:val="20"/>
          <w:color w:val="auto"/>
        </w:rPr>
      </w:pPr>
    </w:p>
    <w:p>
      <w:pPr>
        <w:ind w:right="140" w:firstLine="636"/>
        <w:spacing w:after="0" w:line="251" w:lineRule="auto"/>
        <w:rPr>
          <w:sz w:val="20"/>
          <w:szCs w:val="20"/>
          <w:color w:val="auto"/>
        </w:rPr>
      </w:pPr>
      <w:r>
        <w:rPr>
          <w:rFonts w:ascii="Times New Roman" w:cs="Times New Roman" w:eastAsia="Times New Roman" w:hAnsi="Times New Roman"/>
          <w:sz w:val="18"/>
          <w:szCs w:val="18"/>
          <w:color w:val="auto"/>
        </w:rPr>
        <w:t>We may become subject to privacy laws in the jurisdictions in which we are established or in which we sell or market our products or run clinical trials. For example, in Europe we may be subject to Regulation (EU) 2016/679, the General Data Protection Regulation (GDPR) in relation to our collection, control, processing and other use of personal data (i.e., data relating to an identifiable living individual). The GDPR is directly applicable in each European Union Member State, however, it provides that European Union Member States may introduce further conditions, including limitations that could limit our ability to collect, use and share personal data (including health and medical information), or could cause our compliance costs to increase, ultimately having an adverse impact on our business.</w:t>
      </w:r>
    </w:p>
    <w:p>
      <w:pPr>
        <w:spacing w:after="0" w:line="185" w:lineRule="exact"/>
        <w:rPr>
          <w:sz w:val="20"/>
          <w:szCs w:val="20"/>
          <w:color w:val="auto"/>
        </w:rPr>
      </w:pPr>
    </w:p>
    <w:p>
      <w:pPr>
        <w:ind w:right="20" w:firstLine="636"/>
        <w:spacing w:after="0" w:line="247" w:lineRule="auto"/>
        <w:rPr>
          <w:sz w:val="20"/>
          <w:szCs w:val="20"/>
          <w:color w:val="auto"/>
        </w:rPr>
      </w:pPr>
      <w:r>
        <w:rPr>
          <w:rFonts w:ascii="Times New Roman" w:cs="Times New Roman" w:eastAsia="Times New Roman" w:hAnsi="Times New Roman"/>
          <w:sz w:val="18"/>
          <w:szCs w:val="18"/>
          <w:color w:val="auto"/>
        </w:rPr>
        <w:t>The GDPR imposes onerous accountability obligations requiring data controllers and processors to maintain a record of their data processing and implement policies as part of its mandated privacy governance framework. It also requires data controllers to be transparent and disclose to data subjects (in a concise, intelligible and easily accessible form) how their personal information is to be used, imposes limitations on retention of personal data; defines pseudonymized (i.e., key-coded) data; introduces mandatory data breach notification requirements; and sets higher standards for data controllers to demonstrate that they have obtained valid consent for certain data processing activities. We are subject to the supervision of local data protection authorities in those European Union jurisdictions where we are established or otherwise subject to the GDPR. Fines for certain breaches of the GDPR are significant: up to the greater of €20 million or 4% of total global annual turnover. Further, following the withdrawal of the United Kingdom from the European Union on January 31, 2020, pursuant to the transitional arrangements agreed between the United Kingdom and the European Union, we will have to comply with the GDPR and separately the GDPR as implemented in the United Kingdom, each regime having the ability to fine up to the greater of €20 million/ £17 million or 4% of global turnover. The relationship between the United Kingdom and the European Union in relation to certain aspects of data protection law remains unclear, including how data transfers between European Union member states and the United Kingdom will be treated. These changes may lead to additional compliance costs and could increase our overall risk. In addition to the foregoing, a breach of the GDPR or other applicable privacy and data protection laws and regulations could result in regulatory investigations, reputational damage, orders to cease/change our use of data, enforcement notices, or potential civil claims including class action type litigation.</w:t>
      </w:r>
    </w:p>
    <w:p>
      <w:pPr>
        <w:spacing w:after="0" w:line="198" w:lineRule="exact"/>
        <w:rPr>
          <w:sz w:val="20"/>
          <w:szCs w:val="20"/>
          <w:color w:val="auto"/>
        </w:rPr>
      </w:pPr>
    </w:p>
    <w:p>
      <w:pPr>
        <w:ind w:right="40" w:firstLine="636"/>
        <w:spacing w:after="0" w:line="248" w:lineRule="auto"/>
        <w:rPr>
          <w:sz w:val="20"/>
          <w:szCs w:val="20"/>
          <w:color w:val="auto"/>
        </w:rPr>
      </w:pPr>
      <w:r>
        <w:rPr>
          <w:rFonts w:ascii="Times New Roman" w:cs="Times New Roman" w:eastAsia="Times New Roman" w:hAnsi="Times New Roman"/>
          <w:sz w:val="18"/>
          <w:szCs w:val="18"/>
          <w:color w:val="auto"/>
        </w:rPr>
        <w:t>In addition, the GDPR includes restrictions on cross-border data transfers. Certain aspects of cross-border data transfers under the GDPR are uncertain as the result of legal proceedings in the European Union, including a recent decision by the Court of Justice for the European Union that invalidated the EU-U.S. Privacy Shield and, to some extent, called into question the efficacy and legality of using standard contract clauses. This may increase the complexity of transferring personal data across borders. The GDPR will increase our responsibility and liability in relation to personal data that we process where such processing is subject to the GDPR, and we may be required to put in place additional mechanisms to ensure compliance with the GDPR, including as implemented by individual countries. We are also subject to European Union rules with respect to cross-border transfers of personal data out of the European Union and European Economic Area (EEA). Recent legal developments in the European Union have created complexity and uncertainty regarding transfers of personal data from the EEA to the United States. On July 16, 2020, the Court of Justice of the European Union (CJEU) invalidated the EU-US Privacy Shield Framework (Privacy Shield) under which personal data could be transferred from the EEA to US entities who had self-certified under the Privacy Shield scheme. While the CJEU upheld the adequacy, subject to certain conditions, of the standard contractual clauses (a standard form of contract approved by the European Commission as an adequate personal data transfer mechanism), future regulatory guidance could result in changes to the use of standard contractual clauses. As supervisory authorities issue further guidance on personal</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80" w:lineRule="exact"/>
        <w:rPr>
          <w:sz w:val="20"/>
          <w:szCs w:val="20"/>
          <w:color w:val="auto"/>
        </w:rPr>
      </w:pPr>
    </w:p>
    <w:p>
      <w:pPr>
        <w:ind w:right="80" w:firstLine="636"/>
        <w:spacing w:after="0" w:line="251" w:lineRule="auto"/>
        <w:rPr>
          <w:sz w:val="20"/>
          <w:szCs w:val="20"/>
          <w:color w:val="auto"/>
        </w:rPr>
      </w:pPr>
      <w:r>
        <w:rPr>
          <w:rFonts w:ascii="Times New Roman" w:cs="Times New Roman" w:eastAsia="Times New Roman" w:hAnsi="Times New Roman"/>
          <w:sz w:val="18"/>
          <w:szCs w:val="18"/>
          <w:color w:val="auto"/>
        </w:rPr>
        <w:t>Further, the vote in the United Kingdom in favor of exiting the European Union, referred to as Brexit, has created uncertainty with regard to data protection regulation in the United Kingdom. Specifically, while the Data Protection Act of 2018, which “implements” and complements the GDPR achieved Royal Assent on May 23, 2018 and is now effective in the United Kingdom, aspects of data protection in the United Kingdom, such as the transfer of data from the EEA to the United Kingdom, remain uncertain. During the period of “transition” (i.e., until December 31, 2020), European Union law will continue to apply in the United Kingdom, including the GDPR, after which the GDPR will be converted into United Kingdom law. Beginning in 2021, the United Kingdom will be a “third country” under the GDPR.</w:t>
      </w:r>
    </w:p>
    <w:p>
      <w:pPr>
        <w:spacing w:after="0" w:line="185" w:lineRule="exact"/>
        <w:rPr>
          <w:sz w:val="20"/>
          <w:szCs w:val="20"/>
          <w:color w:val="auto"/>
        </w:rPr>
      </w:pPr>
    </w:p>
    <w:p>
      <w:pPr>
        <w:ind w:firstLine="636"/>
        <w:spacing w:after="0" w:line="247" w:lineRule="auto"/>
        <w:rPr>
          <w:sz w:val="20"/>
          <w:szCs w:val="20"/>
          <w:color w:val="auto"/>
        </w:rPr>
      </w:pPr>
      <w:r>
        <w:rPr>
          <w:rFonts w:ascii="Times New Roman" w:cs="Times New Roman" w:eastAsia="Times New Roman" w:hAnsi="Times New Roman"/>
          <w:sz w:val="18"/>
          <w:szCs w:val="18"/>
          <w:color w:val="auto"/>
        </w:rPr>
        <w:t>In addition, California enacted the California Consumer Privacy Act (CCPA), which creates new individual privacy rights for California consumers (as defined in the law) and places increased privacy and security obligations on entities handling certain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provides for civil penalties for violations, as well as a private right of action for certain data breaches that result in the loss of personal information. This private right of action may increase the likelihood of, and risks associated with, data breach litigation. The CCPA became effective on January 1, 2020, and (i) allows enforcement by the California Attorney General, with fines set at $2,500 per violation (i.e., per person) or $7,500 per intentional violation and (ii) authorizes private lawsuits to recover statutory damages for certain data breaches.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 The CCPA may impact our business activities and exemplifies the vulnerability of our business to the evolving regulatory environment related to personal data and protected health information. Further, the California Privacy Rights Act (the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went into effect on January 1, 2023, and additional compliance investment and potential business process changes may be required.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 Foreign Corrupt Practices Act</w:t>
      </w:r>
    </w:p>
    <w:p>
      <w:pPr>
        <w:spacing w:after="0" w:line="115" w:lineRule="exact"/>
        <w:rPr>
          <w:sz w:val="20"/>
          <w:szCs w:val="20"/>
          <w:color w:val="auto"/>
        </w:rPr>
      </w:pPr>
    </w:p>
    <w:p>
      <w:pPr>
        <w:ind w:right="60" w:firstLine="636"/>
        <w:spacing w:after="0" w:line="271" w:lineRule="auto"/>
        <w:rPr>
          <w:sz w:val="20"/>
          <w:szCs w:val="20"/>
          <w:color w:val="auto"/>
        </w:rPr>
      </w:pPr>
      <w:r>
        <w:rPr>
          <w:rFonts w:ascii="Times New Roman" w:cs="Times New Roman" w:eastAsia="Times New Roman" w:hAnsi="Times New Roman"/>
          <w:sz w:val="17"/>
          <w:szCs w:val="17"/>
          <w:color w:val="auto"/>
        </w:rPr>
        <w:t>The U.S. Foreign Corrupt Practices Act of 1977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Management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Mission</w:t>
      </w:r>
    </w:p>
    <w:p>
      <w:pPr>
        <w:spacing w:after="0" w:line="86" w:lineRule="exact"/>
        <w:rPr>
          <w:sz w:val="20"/>
          <w:szCs w:val="20"/>
          <w:color w:val="auto"/>
        </w:rPr>
      </w:pPr>
    </w:p>
    <w:p>
      <w:pPr>
        <w:ind w:right="40" w:firstLine="636"/>
        <w:spacing w:after="0" w:line="224" w:lineRule="exact"/>
        <w:rPr>
          <w:sz w:val="20"/>
          <w:szCs w:val="20"/>
          <w:color w:val="auto"/>
        </w:rPr>
      </w:pPr>
      <w:r>
        <w:rPr>
          <w:rFonts w:ascii="Times New Roman" w:cs="Times New Roman" w:eastAsia="Times New Roman" w:hAnsi="Times New Roman"/>
          <w:sz w:val="18"/>
          <w:szCs w:val="18"/>
          <w:color w:val="auto"/>
        </w:rPr>
        <w:t>We are a clinical stage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reprogramming company dedicated to developing novel cell therapies to improve the lives of people with solid tumor cancers. We strive to create an environment where everyone can do the best work of their lives, be themselves and thrive personally and professionally. Our culture is grounded by innovative science and demands excellence. Patients are waiting for better therapies, and it is this need that drives our sense of urgency to achieve our important mission.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Values</w:t>
      </w:r>
    </w:p>
    <w:p>
      <w:pPr>
        <w:spacing w:after="0" w:line="115" w:lineRule="exact"/>
        <w:rPr>
          <w:sz w:val="20"/>
          <w:szCs w:val="20"/>
          <w:color w:val="auto"/>
        </w:rPr>
      </w:pPr>
    </w:p>
    <w:p>
      <w:pPr>
        <w:ind w:right="720" w:firstLine="636"/>
        <w:spacing w:after="0" w:line="274" w:lineRule="auto"/>
        <w:rPr>
          <w:sz w:val="20"/>
          <w:szCs w:val="20"/>
          <w:color w:val="auto"/>
        </w:rPr>
      </w:pPr>
      <w:r>
        <w:rPr>
          <w:rFonts w:ascii="Times New Roman" w:cs="Times New Roman" w:eastAsia="Times New Roman" w:hAnsi="Times New Roman"/>
          <w:sz w:val="18"/>
          <w:szCs w:val="18"/>
          <w:color w:val="auto"/>
        </w:rPr>
        <w:t>We believe success comes when we and our employees align our core values with our mission to translate our ground-breaking science into medicines with the potential to transform patients’ lives. Our core values are:</w:t>
      </w:r>
    </w:p>
    <w:p>
      <w:pPr>
        <w:spacing w:after="0" w:line="55" w:lineRule="exact"/>
        <w:rPr>
          <w:sz w:val="20"/>
          <w:szCs w:val="20"/>
          <w:color w:val="auto"/>
        </w:rPr>
      </w:pPr>
    </w:p>
    <w:p>
      <w:pPr>
        <w:ind w:left="320"/>
        <w:spacing w:after="0"/>
        <w:tabs>
          <w:tab w:leader="none" w:pos="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i w:val="1"/>
          <w:iCs w:val="1"/>
          <w:color w:val="auto"/>
        </w:rPr>
        <w:t>Science</w:t>
      </w:r>
      <w:r>
        <w:rPr>
          <w:rFonts w:ascii="Times New Roman" w:cs="Times New Roman" w:eastAsia="Times New Roman" w:hAnsi="Times New Roman"/>
          <w:sz w:val="17"/>
          <w:szCs w:val="17"/>
          <w:color w:val="auto"/>
        </w:rPr>
        <w:t>: We focus and execute on the critical efforts that matter most.</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60" w:hanging="236"/>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Courage</w:t>
      </w:r>
      <w:r>
        <w:rPr>
          <w:rFonts w:ascii="Times New Roman" w:cs="Times New Roman" w:eastAsia="Times New Roman" w:hAnsi="Times New Roman"/>
          <w:sz w:val="18"/>
          <w:szCs w:val="18"/>
          <w:color w:val="auto"/>
        </w:rPr>
        <w:t>: We are bold and willing to think and act differently.</w:t>
      </w:r>
    </w:p>
    <w:p>
      <w:pPr>
        <w:spacing w:after="0" w:line="111" w:lineRule="exact"/>
        <w:rPr>
          <w:rFonts w:ascii="Times New Roman" w:cs="Times New Roman" w:eastAsia="Times New Roman" w:hAnsi="Times New Roman"/>
          <w:sz w:val="18"/>
          <w:szCs w:val="18"/>
          <w:color w:val="auto"/>
        </w:rPr>
      </w:pPr>
    </w:p>
    <w:p>
      <w:pPr>
        <w:ind w:left="560" w:hanging="236"/>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Respect</w:t>
      </w:r>
      <w:r>
        <w:rPr>
          <w:rFonts w:ascii="Times New Roman" w:cs="Times New Roman" w:eastAsia="Times New Roman" w:hAnsi="Times New Roman"/>
          <w:sz w:val="18"/>
          <w:szCs w:val="18"/>
          <w:color w:val="auto"/>
        </w:rPr>
        <w:t>: We seek to understand and communicate directly, transparently and honestly.</w:t>
      </w:r>
    </w:p>
    <w:p>
      <w:pPr>
        <w:spacing w:after="0" w:line="111" w:lineRule="exact"/>
        <w:rPr>
          <w:rFonts w:ascii="Times New Roman" w:cs="Times New Roman" w:eastAsia="Times New Roman" w:hAnsi="Times New Roman"/>
          <w:sz w:val="18"/>
          <w:szCs w:val="18"/>
          <w:color w:val="auto"/>
        </w:rPr>
      </w:pPr>
    </w:p>
    <w:p>
      <w:pPr>
        <w:ind w:left="560" w:hanging="236"/>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Collaboration</w:t>
      </w:r>
      <w:r>
        <w:rPr>
          <w:rFonts w:ascii="Times New Roman" w:cs="Times New Roman" w:eastAsia="Times New Roman" w:hAnsi="Times New Roman"/>
          <w:sz w:val="18"/>
          <w:szCs w:val="18"/>
          <w:color w:val="auto"/>
        </w:rPr>
        <w:t>: We work across teams to solve our most challenging problems to continually improve and learn.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Employees</w:t>
      </w:r>
    </w:p>
    <w:p>
      <w:pPr>
        <w:spacing w:after="0" w:line="115" w:lineRule="exact"/>
        <w:rPr>
          <w:sz w:val="20"/>
          <w:szCs w:val="20"/>
          <w:color w:val="auto"/>
        </w:rPr>
      </w:pPr>
    </w:p>
    <w:p>
      <w:pPr>
        <w:ind w:firstLine="636"/>
        <w:spacing w:after="0" w:line="250" w:lineRule="auto"/>
        <w:rPr>
          <w:sz w:val="20"/>
          <w:szCs w:val="20"/>
          <w:color w:val="auto"/>
        </w:rPr>
      </w:pPr>
      <w:r>
        <w:rPr>
          <w:rFonts w:ascii="Times New Roman" w:cs="Times New Roman" w:eastAsia="Times New Roman" w:hAnsi="Times New Roman"/>
          <w:sz w:val="18"/>
          <w:szCs w:val="18"/>
          <w:color w:val="auto"/>
        </w:rPr>
        <w:t>We view our employees as valuable assets in serving our mission. We compete in the highly competitive biotechnology industry, and attracting, retaining and developing a diverse group of talented employees is crucial to our strategy and our ability to compete effectively. We need to grow the size of our organization in order to support our current research, product development and manufacturing efforts and our future plans for commercializing our product candidates, if approved. This growth is critical to our success. There currently is a shortage of skilled individuals with substantial experience discovering, developing and manufacturing cell therapy medicines, which is likely to continue. We also operate in areas such as data capture and analytics, machine learning and artificial intelligence. As a result, competition for talent is intense and the turnover rate can be high. We face substantial competition among numerous biopharmaceutical companies and academic institutions as well as technology companies for individuals with these skills.</w:t>
      </w:r>
    </w:p>
    <w:p>
      <w:pPr>
        <w:spacing w:after="0" w:line="81" w:lineRule="exact"/>
        <w:rPr>
          <w:sz w:val="20"/>
          <w:szCs w:val="20"/>
          <w:color w:val="auto"/>
        </w:rPr>
      </w:pPr>
    </w:p>
    <w:p>
      <w:pPr>
        <w:ind w:firstLine="636"/>
        <w:spacing w:after="0" w:line="255" w:lineRule="auto"/>
        <w:rPr>
          <w:sz w:val="20"/>
          <w:szCs w:val="20"/>
          <w:color w:val="auto"/>
        </w:rPr>
      </w:pPr>
      <w:r>
        <w:rPr>
          <w:rFonts w:ascii="Times New Roman" w:cs="Times New Roman" w:eastAsia="Times New Roman" w:hAnsi="Times New Roman"/>
          <w:sz w:val="18"/>
          <w:szCs w:val="18"/>
          <w:color w:val="auto"/>
        </w:rPr>
        <w:t>As of December 31, 2022, we had 274 employees, over 75% of whom were engaged in research and development activities, technical operations and process sciences. Our employees are highly skilled, and many hold advanced degrees. Many of our employees have experience with the development of cell therapies. Substantially all of our employees are located in California and Washington. None of our employees are subject to a collective bargaining agreement nor represented by labor unions. We consider our relationship with our employees to be good.</w:t>
      </w:r>
    </w:p>
    <w:p>
      <w:pPr>
        <w:spacing w:after="0" w:line="74" w:lineRule="exact"/>
        <w:rPr>
          <w:sz w:val="20"/>
          <w:szCs w:val="20"/>
          <w:color w:val="auto"/>
        </w:rPr>
      </w:pPr>
    </w:p>
    <w:p>
      <w:pPr>
        <w:ind w:right="120" w:firstLine="636"/>
        <w:spacing w:after="0" w:line="255" w:lineRule="auto"/>
        <w:rPr>
          <w:sz w:val="20"/>
          <w:szCs w:val="20"/>
          <w:color w:val="auto"/>
        </w:rPr>
      </w:pPr>
      <w:r>
        <w:rPr>
          <w:rFonts w:ascii="Times New Roman" w:cs="Times New Roman" w:eastAsia="Times New Roman" w:hAnsi="Times New Roman"/>
          <w:sz w:val="18"/>
          <w:szCs w:val="18"/>
          <w:color w:val="auto"/>
        </w:rPr>
        <w:t>Developing our employees is important, and we focus on providing training and opportunities for development and advancement. Learning and development, training and career advancement are an integral part of retaining our employees. We hold talent discussions regularly, which include promotion cycles across functions and role levels. In 2022, we created a comprehensive talent management framework, which includes role leveling, competencies, training by role level and competencies and development planning.</w:t>
      </w:r>
    </w:p>
    <w:p>
      <w:pPr>
        <w:spacing w:after="0" w:line="74" w:lineRule="exact"/>
        <w:rPr>
          <w:sz w:val="20"/>
          <w:szCs w:val="20"/>
          <w:color w:val="auto"/>
        </w:rPr>
      </w:pPr>
    </w:p>
    <w:p>
      <w:pPr>
        <w:jc w:val="both"/>
        <w:ind w:right="380" w:firstLine="636"/>
        <w:spacing w:after="0" w:line="274" w:lineRule="auto"/>
        <w:rPr>
          <w:sz w:val="20"/>
          <w:szCs w:val="20"/>
          <w:color w:val="auto"/>
        </w:rPr>
      </w:pPr>
      <w:r>
        <w:rPr>
          <w:rFonts w:ascii="Times New Roman" w:cs="Times New Roman" w:eastAsia="Times New Roman" w:hAnsi="Times New Roman"/>
          <w:sz w:val="17"/>
          <w:szCs w:val="17"/>
          <w:color w:val="auto"/>
        </w:rPr>
        <w:t>Since inception, our employee turnover has remained consistently below average for the U.S. life sciences industry generally, as well as for life sciences companies located in Northern California and the Pacific Northwest. Given our expanding operations and need to further grow our headcount to support our business, we continually assess employee turnover, recruitment initiatives, compensation and benefits programs, safety in performing critical laboratory work, diversity and other matters relevant to human capital management, and we review results with our board of directors on a periodic basis.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Compensation and Benefits</w:t>
      </w:r>
    </w:p>
    <w:p>
      <w:pPr>
        <w:spacing w:after="0" w:line="115" w:lineRule="exact"/>
        <w:rPr>
          <w:sz w:val="20"/>
          <w:szCs w:val="20"/>
          <w:color w:val="auto"/>
        </w:rPr>
      </w:pPr>
    </w:p>
    <w:p>
      <w:pPr>
        <w:ind w:right="140" w:firstLine="636"/>
        <w:spacing w:after="0" w:line="251" w:lineRule="auto"/>
        <w:rPr>
          <w:sz w:val="20"/>
          <w:szCs w:val="20"/>
          <w:color w:val="auto"/>
        </w:rPr>
      </w:pPr>
      <w:r>
        <w:rPr>
          <w:rFonts w:ascii="Times New Roman" w:cs="Times New Roman" w:eastAsia="Times New Roman" w:hAnsi="Times New Roman"/>
          <w:sz w:val="18"/>
          <w:szCs w:val="18"/>
          <w:color w:val="auto"/>
        </w:rPr>
        <w:t>Given the highly competitive nature of our industry and the importance of recruitment and retention to our success, we strive to provide our employees with what we believe is a competitive and comprehensive total rewards package of compensation, benefits and services. This package includes competitive market pay, healthcare benefits for employees and family members, a flexible spending account, paid time off benefits, family leave, flexible work schedules, flexible work locations, 401(k) matching, an employee assistance program and a new wellness program. In addition, we offer employees the benefit of equity ownership in the company through stock option grants and restricted stock units. Our employees are also eligible to participate in an employee stock purchase plan, which offers the opportunity to purchase our common stock at a discount of 15%.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Commitment to Diversity, Belonging, Inclusion and Equity</w:t>
      </w:r>
    </w:p>
    <w:p>
      <w:pPr>
        <w:spacing w:after="0" w:line="115" w:lineRule="exact"/>
        <w:rPr>
          <w:sz w:val="20"/>
          <w:szCs w:val="20"/>
          <w:color w:val="auto"/>
        </w:rPr>
      </w:pPr>
    </w:p>
    <w:p>
      <w:pPr>
        <w:ind w:right="120" w:firstLine="636"/>
        <w:spacing w:after="0" w:line="252" w:lineRule="auto"/>
        <w:rPr>
          <w:sz w:val="20"/>
          <w:szCs w:val="20"/>
          <w:color w:val="auto"/>
        </w:rPr>
      </w:pPr>
      <w:r>
        <w:rPr>
          <w:rFonts w:ascii="Times New Roman" w:cs="Times New Roman" w:eastAsia="Times New Roman" w:hAnsi="Times New Roman"/>
          <w:sz w:val="18"/>
          <w:szCs w:val="18"/>
          <w:color w:val="auto"/>
        </w:rPr>
        <w:t>We strongly believe in a diverse workplace where all employees can thrive in an inclusive environment free from discrimination, harassment, bias and prejudice. We aim to treat all individuals with respect and dignity and to provide all employees with equal opportunity and fair treatment. By embracing diversity and inclusion, we seek to create an organization committed to working together to develop innovative solutions consistent with our values and in support of accomplishing our mission. Not only is a diverse, equitable and inclusive mindset and culture critical to an engaged and committed workplace, but it is also imperative to understanding and meeting the needs of the patients we seek to help with our medicines.</w:t>
      </w:r>
    </w:p>
    <w:p>
      <w:pPr>
        <w:spacing w:after="0" w:line="79" w:lineRule="exact"/>
        <w:rPr>
          <w:sz w:val="20"/>
          <w:szCs w:val="20"/>
          <w:color w:val="auto"/>
        </w:rPr>
      </w:pPr>
    </w:p>
    <w:p>
      <w:pPr>
        <w:ind w:firstLine="636"/>
        <w:spacing w:after="0" w:line="252" w:lineRule="auto"/>
        <w:rPr>
          <w:sz w:val="20"/>
          <w:szCs w:val="20"/>
          <w:color w:val="auto"/>
        </w:rPr>
      </w:pPr>
      <w:r>
        <w:rPr>
          <w:rFonts w:ascii="Times New Roman" w:cs="Times New Roman" w:eastAsia="Times New Roman" w:hAnsi="Times New Roman"/>
          <w:sz w:val="18"/>
          <w:szCs w:val="18"/>
          <w:color w:val="auto"/>
        </w:rPr>
        <w:t>With the support of our executive leadership team, we convened a Diversity, Belonging, Inclusion and Equity (DBIE) working group in 2020 comprised of a diverse group of employees tasked with designing and implementing specific initiatives to promote greater diversity, belonging, inclusion and equity at Lyell. We also engaged an experienced DBIE consultant to advise us on the design and planning of new DBIE initiatives based on expertise and external benchmarking. The DBIE working group formalized a DBIE statement, a framework, a tactical plan and advanced a commitment to the importance of DBIE. In 2022, we offered several DBIE speaker events, rolled out Inclusivity@Lyell</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training sessions, utilized Textio to reduce gender bias in role descriptions and postings, and tried several new recruiting sources to further diversify candidate pools. Although we are proud of our progress to date, we have and will continue to conduct relevant training and provide guidance with respect to best practices of similarly situated companies.</w:t>
      </w:r>
    </w:p>
    <w:p>
      <w:pPr>
        <w:spacing w:after="0" w:line="72" w:lineRule="exact"/>
        <w:rPr>
          <w:sz w:val="20"/>
          <w:szCs w:val="20"/>
          <w:color w:val="auto"/>
        </w:rPr>
      </w:pPr>
    </w:p>
    <w:p>
      <w:pPr>
        <w:ind w:right="180" w:firstLine="636"/>
        <w:spacing w:after="0" w:line="259" w:lineRule="auto"/>
        <w:rPr>
          <w:sz w:val="20"/>
          <w:szCs w:val="20"/>
          <w:color w:val="auto"/>
        </w:rPr>
      </w:pPr>
      <w:r>
        <w:rPr>
          <w:rFonts w:ascii="Times New Roman" w:cs="Times New Roman" w:eastAsia="Times New Roman" w:hAnsi="Times New Roman"/>
          <w:sz w:val="18"/>
          <w:szCs w:val="18"/>
          <w:color w:val="auto"/>
        </w:rPr>
        <w:t>As of December 31, 2022, our employees were self-reportedly approximately 49.3% percent women and 47.4% of our employees were self-reportedly ethnically or racially diverse with 33.6% Asian, 4.0% Black or African American, 6.2% Hispanic or Latino and 3.6% of other minority groups or two or more races.</w:t>
      </w:r>
    </w:p>
    <w:p>
      <w:pPr>
        <w:spacing w:after="0" w:line="72" w:lineRule="exact"/>
        <w:rPr>
          <w:sz w:val="20"/>
          <w:szCs w:val="20"/>
          <w:color w:val="auto"/>
        </w:rPr>
      </w:pPr>
    </w:p>
    <w:p>
      <w:pPr>
        <w:ind w:right="60" w:firstLine="636"/>
        <w:spacing w:after="0" w:line="250" w:lineRule="auto"/>
        <w:rPr>
          <w:sz w:val="20"/>
          <w:szCs w:val="20"/>
          <w:color w:val="auto"/>
        </w:rPr>
      </w:pPr>
      <w:r>
        <w:rPr>
          <w:rFonts w:ascii="Times New Roman" w:cs="Times New Roman" w:eastAsia="Times New Roman" w:hAnsi="Times New Roman"/>
          <w:sz w:val="18"/>
          <w:szCs w:val="18"/>
          <w:color w:val="auto"/>
        </w:rPr>
        <w:t>We believe in equitable pay practices and our compensation practices and philosophies are reviewed regularly. We establish components and ranges of compensation based on market and benchmark data. Within this context, we strive to pay all employees equitably within a reasonable range, taking into consideration factors such as role, market data, internal equity, job location, relevant experience, and individual and company performance. We review and analyze our compensation decisions for individual employees and our workforce as a whole on at least an annual basis. In 2022, we engaged an independent external firm to conduct a pay equity analysis, the results of which we believe demonstrated that our compensation practices and structure are equitable. If we identify employees with unjustified pay gaps that do not align with our pay philosophy, we review and take appropriate action to ensure fidelity between our stated philosophy and actions.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Safety and COVID-19</w:t>
      </w:r>
    </w:p>
    <w:p>
      <w:pPr>
        <w:spacing w:after="0" w:line="113" w:lineRule="exact"/>
        <w:rPr>
          <w:sz w:val="20"/>
          <w:szCs w:val="20"/>
          <w:color w:val="auto"/>
        </w:rPr>
      </w:pPr>
    </w:p>
    <w:p>
      <w:pPr>
        <w:jc w:val="both"/>
        <w:ind w:right="40" w:firstLine="636"/>
        <w:spacing w:after="0" w:line="259" w:lineRule="auto"/>
        <w:rPr>
          <w:sz w:val="20"/>
          <w:szCs w:val="20"/>
          <w:color w:val="auto"/>
        </w:rPr>
      </w:pPr>
      <w:r>
        <w:rPr>
          <w:rFonts w:ascii="Times New Roman" w:cs="Times New Roman" w:eastAsia="Times New Roman" w:hAnsi="Times New Roman"/>
          <w:sz w:val="18"/>
          <w:szCs w:val="18"/>
          <w:color w:val="auto"/>
        </w:rPr>
        <w:t>Employee safety and well-being is of paramount importance to us in any year and has been of particular focus since 2020 in light of the evolving and continuing effects of the COVID-19 pandemic. In response to the pandemic, we have supported our employees and government efforts to curb the COVID-19 pandemic through safety and communication efforts and investments.</w:t>
      </w:r>
    </w:p>
    <w:p>
      <w:pPr>
        <w:spacing w:after="0" w:line="72" w:lineRule="exact"/>
        <w:rPr>
          <w:sz w:val="20"/>
          <w:szCs w:val="20"/>
          <w:color w:val="auto"/>
        </w:rPr>
      </w:pPr>
    </w:p>
    <w:p>
      <w:pPr>
        <w:ind w:right="180" w:firstLine="636"/>
        <w:spacing w:after="0" w:line="252" w:lineRule="auto"/>
        <w:rPr>
          <w:sz w:val="20"/>
          <w:szCs w:val="20"/>
          <w:color w:val="auto"/>
        </w:rPr>
      </w:pPr>
      <w:r>
        <w:rPr>
          <w:rFonts w:ascii="Times New Roman" w:cs="Times New Roman" w:eastAsia="Times New Roman" w:hAnsi="Times New Roman"/>
          <w:sz w:val="18"/>
          <w:szCs w:val="18"/>
          <w:color w:val="auto"/>
        </w:rPr>
        <w:t>One of our top priorities is the protection of the health and well-being of our employees, partners and communities. While our employees have returned to work in our offices on a flexible-basis, all employees and substantially all other third parties that come onsite are required to be fully vaccinated. We continue to maintain rigorous procedures to address actual and suspected COVID-19 cases and potential exposure, including increased cleaning of high touch areas, provision of hand sanitizing stations and limited on-site contract tracing as needed, and we expect to continue such measures for the near foreseeable future.</w:t>
      </w:r>
    </w:p>
    <w:p>
      <w:pPr>
        <w:spacing w:after="0" w:line="79" w:lineRule="exact"/>
        <w:rPr>
          <w:sz w:val="20"/>
          <w:szCs w:val="20"/>
          <w:color w:val="auto"/>
        </w:rPr>
      </w:pPr>
    </w:p>
    <w:p>
      <w:pPr>
        <w:jc w:val="both"/>
        <w:ind w:right="160" w:firstLine="636"/>
        <w:spacing w:after="0" w:line="259" w:lineRule="auto"/>
        <w:rPr>
          <w:sz w:val="20"/>
          <w:szCs w:val="20"/>
          <w:color w:val="auto"/>
        </w:rPr>
      </w:pPr>
      <w:r>
        <w:rPr>
          <w:rFonts w:ascii="Times New Roman" w:cs="Times New Roman" w:eastAsia="Times New Roman" w:hAnsi="Times New Roman"/>
          <w:sz w:val="18"/>
          <w:szCs w:val="18"/>
          <w:color w:val="auto"/>
        </w:rPr>
        <w:t>We continue to closely monitor the COVID-19 pandemic and have strived to follow recommended containment and mitigation measures, including the guidance from the Centers for Disease Control and Prevention (CDC), Occupational Safety and Health Administration (OSHA), the states of California and Washington (including their state OSHA programs) and applicable counties.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3" w:lineRule="exact"/>
        <w:rPr>
          <w:sz w:val="20"/>
          <w:szCs w:val="20"/>
          <w:color w:val="auto"/>
        </w:rPr>
      </w:pPr>
    </w:p>
    <w:p>
      <w:pPr>
        <w:ind w:firstLine="433"/>
        <w:spacing w:after="0" w:line="252" w:lineRule="auto"/>
        <w:rPr>
          <w:sz w:val="20"/>
          <w:szCs w:val="20"/>
          <w:color w:val="auto"/>
        </w:rPr>
      </w:pPr>
      <w:r>
        <w:rPr>
          <w:rFonts w:ascii="Times New Roman" w:cs="Times New Roman" w:eastAsia="Times New Roman" w:hAnsi="Times New Roman"/>
          <w:sz w:val="18"/>
          <w:szCs w:val="18"/>
          <w:color w:val="auto"/>
        </w:rPr>
        <w:t>Our website address is www.lyell.com. We file annual reports on Form 10-K, quarterly reports on Form 10-Q, current reports on Form 8-K, and amendments to reports filed or furnished pursuant to Sections 13(a) and 15(d) of the Exchange Act. The SEC maintains a website at www.sec.gov that contains reports, proxy and information statements and other information that we file with the SEC electronically. Copies of our reports on Form 10-K, Forms 10-Q, Forms 8-K, and amendments to those reports may also be obtained, free of charge, electronically on the investor relations page on our website located at ir.lyell.com as soon as reasonably practical after we file such material with, or furnish it to, the SEC.</w:t>
      </w:r>
    </w:p>
    <w:p>
      <w:pPr>
        <w:spacing w:after="0" w:line="79" w:lineRule="exact"/>
        <w:rPr>
          <w:sz w:val="20"/>
          <w:szCs w:val="20"/>
          <w:color w:val="auto"/>
        </w:rPr>
      </w:pPr>
    </w:p>
    <w:p>
      <w:pPr>
        <w:jc w:val="both"/>
        <w:ind w:right="20" w:firstLine="433"/>
        <w:spacing w:after="0" w:line="255" w:lineRule="auto"/>
        <w:rPr>
          <w:sz w:val="20"/>
          <w:szCs w:val="20"/>
          <w:color w:val="auto"/>
        </w:rPr>
      </w:pPr>
      <w:r>
        <w:rPr>
          <w:rFonts w:ascii="Times New Roman" w:cs="Times New Roman" w:eastAsia="Times New Roman" w:hAnsi="Times New Roman"/>
          <w:sz w:val="18"/>
          <w:szCs w:val="18"/>
          <w:color w:val="auto"/>
        </w:rPr>
        <w:t>We also use the investor relations page on our website as a channel of distribution for important company information. Important information, including press releases, analyst presentations and financial information regarding us, as well as corporate governance information, is routinely posted and accessible on the investor relations page on our website. Information on or that can be accessed through our website is not part of this Annual Report on Form 10-K, and the inclusion of our website address is an inactive textual reference only.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1" w:lineRule="exact"/>
        <w:rPr>
          <w:sz w:val="20"/>
          <w:szCs w:val="20"/>
          <w:color w:val="auto"/>
        </w:rPr>
      </w:pPr>
    </w:p>
    <w:p>
      <w:pPr>
        <w:ind w:right="100" w:firstLine="636"/>
        <w:spacing w:after="0" w:line="251" w:lineRule="auto"/>
        <w:rPr>
          <w:sz w:val="20"/>
          <w:szCs w:val="20"/>
          <w:color w:val="auto"/>
        </w:rPr>
      </w:pPr>
      <w:r>
        <w:rPr>
          <w:rFonts w:ascii="Times New Roman" w:cs="Times New Roman" w:eastAsia="Times New Roman" w:hAnsi="Times New Roman"/>
          <w:sz w:val="18"/>
          <w:szCs w:val="18"/>
          <w:i w:val="1"/>
          <w:iCs w:val="1"/>
          <w:color w:val="auto"/>
        </w:rPr>
        <w:t>Our business involves significant risks, some of which are described below. You should carefully consider the risks described below, as well as the other information contained in this Annual Report on Form 10-K, including our audited consolidated financial statements and unaudited condensed consolidated financial statements and the related notes and the section titled “Management’s Discussion and Analysis of Financial Condition and Results of Operations.”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Limited Operating History and Need for Additional Capital</w:t>
      </w:r>
    </w:p>
    <w:p>
      <w:pPr>
        <w:spacing w:after="0" w:line="109"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an early clinical stage biopharmaceutical company and have incurred substantial losses since our inception and anticipate that we will continue to incur substantial and increasing net losses for the foreseeable future.</w:t>
      </w:r>
    </w:p>
    <w:p>
      <w:pPr>
        <w:spacing w:after="0" w:line="54" w:lineRule="exact"/>
        <w:rPr>
          <w:sz w:val="20"/>
          <w:szCs w:val="20"/>
          <w:color w:val="auto"/>
        </w:rPr>
      </w:pPr>
    </w:p>
    <w:p>
      <w:pPr>
        <w:ind w:right="80" w:firstLine="636"/>
        <w:spacing w:after="0" w:line="269" w:lineRule="auto"/>
        <w:rPr>
          <w:sz w:val="20"/>
          <w:szCs w:val="20"/>
          <w:color w:val="auto"/>
        </w:rPr>
      </w:pPr>
      <w:r>
        <w:rPr>
          <w:rFonts w:ascii="Times New Roman" w:cs="Times New Roman" w:eastAsia="Times New Roman" w:hAnsi="Times New Roman"/>
          <w:sz w:val="17"/>
          <w:szCs w:val="17"/>
          <w:color w:val="auto"/>
        </w:rPr>
        <w:t>Investment in biopharmaceutical product development is highly speculative because it entails substantial upfront capital expenditures and significant risk that a product candidate will fail to prove effective, gain regulatory approval or become commercially viable. We are an early clinical stage biopharmaceutical company, and we do not have any products approved by regulatory authorities and have incurred significant research, development and other expenses related to our ongoing operations and expect to continue to incur such expenses. Since our inception, we have not generated any revenue from product sales and have incurred significant net losses. Substantially all of our net losses since inception have resulted from our research and development programs and general and administrative costs associated with our operations. As of December 31, 2022, we had an accumulated deficit of $767.5 million.</w:t>
      </w:r>
    </w:p>
    <w:p>
      <w:pPr>
        <w:spacing w:after="0" w:line="63" w:lineRule="exact"/>
        <w:rPr>
          <w:sz w:val="20"/>
          <w:szCs w:val="20"/>
          <w:color w:val="auto"/>
        </w:rPr>
      </w:pPr>
    </w:p>
    <w:p>
      <w:pPr>
        <w:ind w:right="20" w:firstLine="636"/>
        <w:spacing w:after="0" w:line="249" w:lineRule="auto"/>
        <w:rPr>
          <w:sz w:val="20"/>
          <w:szCs w:val="20"/>
          <w:color w:val="auto"/>
        </w:rPr>
      </w:pPr>
      <w:r>
        <w:rPr>
          <w:rFonts w:ascii="Times New Roman" w:cs="Times New Roman" w:eastAsia="Times New Roman" w:hAnsi="Times New Roman"/>
          <w:sz w:val="18"/>
          <w:szCs w:val="18"/>
          <w:color w:val="auto"/>
        </w:rPr>
        <w:t>We do not expect to generate revenue from product sales for the foreseeable future, if at all. We expect to continue to incur significant expenses and operating losses for the foreseeable future. We anticipate these losses to increase as we continue to research, develop and seek regulatory approvals for our product candidates, expand our manufacturing capabilities, in-license or acquire additional technologies and potentially begin to commercialize product candidates that may achieve regulatory approval. We may encounter unforeseen expenses, difficulties, complications, delays and other unknown factors that may adversely affect our business. The size of our future net losses will depend, in part, on the rate of future growth of our expenses and our ability to generate revenues. Moreover, our net losses may fluctuate significantly from quarter to quarter and year to year, such that a period to period comparison of our results of operations may not be a good indication of our future performance. If any of our product candidates fails in research and development or clinical trials or does not gain regulatory approval, or, if approved, fails to achieve market acceptance, we may never become profitable. Even if we achieve profitability in the future, we may not be able to sustain profitability in subsequent periods.</w:t>
      </w:r>
    </w:p>
    <w:p>
      <w:pPr>
        <w:spacing w:after="0" w:line="81" w:lineRule="exact"/>
        <w:rPr>
          <w:sz w:val="20"/>
          <w:szCs w:val="20"/>
          <w:color w:val="auto"/>
        </w:rPr>
      </w:pPr>
    </w:p>
    <w:p>
      <w:pPr>
        <w:ind w:right="40" w:firstLine="636"/>
        <w:spacing w:after="0" w:line="274" w:lineRule="auto"/>
        <w:rPr>
          <w:sz w:val="20"/>
          <w:szCs w:val="20"/>
          <w:color w:val="auto"/>
        </w:rPr>
      </w:pPr>
      <w:r>
        <w:rPr>
          <w:rFonts w:ascii="Times New Roman" w:cs="Times New Roman" w:eastAsia="Times New Roman" w:hAnsi="Times New Roman"/>
          <w:sz w:val="18"/>
          <w:szCs w:val="18"/>
          <w:color w:val="auto"/>
        </w:rPr>
        <w:t>We anticipate that our expenses and operating losses will increase substantially over the foreseeable future. The expected increase in expenses will be driven in large part by our ongoing activities, if and as we:</w:t>
      </w:r>
    </w:p>
    <w:p>
      <w:pPr>
        <w:spacing w:after="0" w:line="57" w:lineRule="exact"/>
        <w:rPr>
          <w:sz w:val="20"/>
          <w:szCs w:val="20"/>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nonclinical development of our current and future product candidates and initiate additional nonclinical studies;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and continue clinical trials of our current and future product candidates;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genetic and epigenetic reprogramming technologies as well as other research and development efforts;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of our current and future product candidates;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manufacturing and process development capabilities;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and license technology or technology platforms;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protect and defend our intellectual property portfolio; and</w:t>
      </w:r>
    </w:p>
    <w:p>
      <w:pPr>
        <w:spacing w:after="0" w:line="111" w:lineRule="exact"/>
        <w:rPr>
          <w:rFonts w:ascii="Times New Roman" w:cs="Times New Roman" w:eastAsia="Times New Roman" w:hAnsi="Times New Roman"/>
          <w:sz w:val="18"/>
          <w:szCs w:val="18"/>
          <w:color w:val="auto"/>
        </w:rPr>
      </w:pPr>
    </w:p>
    <w:p>
      <w:pPr>
        <w:ind w:left="640" w:right="3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or other expenses in operating our business, including the additional costs associated with operating as a public company.</w:t>
      </w:r>
    </w:p>
    <w:p>
      <w:pPr>
        <w:spacing w:after="0" w:line="53"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operate in a rapidly evolving field and have a limited operating history, which may make it difficult to evaluate the success of our business to date and to assess our future viability.</w:t>
      </w:r>
    </w:p>
    <w:p>
      <w:pPr>
        <w:spacing w:after="0" w:line="54" w:lineRule="exact"/>
        <w:rPr>
          <w:sz w:val="20"/>
          <w:szCs w:val="20"/>
          <w:color w:val="auto"/>
        </w:rPr>
      </w:pPr>
    </w:p>
    <w:p>
      <w:pPr>
        <w:ind w:firstLine="636"/>
        <w:spacing w:after="0" w:line="216" w:lineRule="exact"/>
        <w:rPr>
          <w:sz w:val="20"/>
          <w:szCs w:val="20"/>
          <w:color w:val="auto"/>
        </w:rPr>
      </w:pPr>
      <w:r>
        <w:rPr>
          <w:rFonts w:ascii="Times New Roman" w:cs="Times New Roman" w:eastAsia="Times New Roman" w:hAnsi="Times New Roman"/>
          <w:sz w:val="17"/>
          <w:szCs w:val="17"/>
          <w:color w:val="auto"/>
        </w:rPr>
        <w:t>We operate in a rapidly evolving field and, having commenced operations in June 2018, have a limited operating history, which makes it difficult to evaluate our business and prospects. Our primary activities to date have included developing 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cell therapies, performing research and development, acquiring technology, entering into strategic collaboration and license agreements, enabling and executing manufacturing activities in support of our product candidate development efforts, organizing and staffing the company, business planning, establishing our intellectual property portfolio, regulatory submissions and other preparations to initiate clinical trials, raising capital and providing general and administrative support for these activities. Any predictions about our future success, performance or viability, may not be as accurate as they could be if we had a longer operating history or approved products on the market.</w:t>
      </w:r>
    </w:p>
    <w:p>
      <w:pPr>
        <w:spacing w:after="0" w:line="88" w:lineRule="exact"/>
        <w:rPr>
          <w:sz w:val="20"/>
          <w:szCs w:val="20"/>
          <w:color w:val="auto"/>
        </w:rPr>
      </w:pPr>
    </w:p>
    <w:p>
      <w:pPr>
        <w:ind w:right="300" w:firstLine="636"/>
        <w:spacing w:after="0" w:line="259" w:lineRule="auto"/>
        <w:rPr>
          <w:sz w:val="20"/>
          <w:szCs w:val="20"/>
          <w:color w:val="auto"/>
        </w:rPr>
      </w:pPr>
      <w:r>
        <w:rPr>
          <w:rFonts w:ascii="Times New Roman" w:cs="Times New Roman" w:eastAsia="Times New Roman" w:hAnsi="Times New Roman"/>
          <w:sz w:val="18"/>
          <w:szCs w:val="18"/>
          <w:color w:val="auto"/>
        </w:rPr>
        <w:t>In addition,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 We expect our</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420"/>
        <w:spacing w:after="0" w:line="304" w:lineRule="auto"/>
        <w:rPr>
          <w:sz w:val="20"/>
          <w:szCs w:val="20"/>
          <w:color w:val="auto"/>
        </w:rPr>
      </w:pPr>
      <w:r>
        <w:rPr>
          <w:rFonts w:ascii="Times New Roman" w:cs="Times New Roman" w:eastAsia="Times New Roman" w:hAnsi="Times New Roman"/>
          <w:sz w:val="17"/>
          <w:szCs w:val="17"/>
          <w:color w:val="auto"/>
        </w:rPr>
        <w:t>financial condition and operating results to continue to fluctuate significantly from quarter to quarter and year to year due to a variety of factors, many of which are beyond our control. Accordingly, any of our quarterly or annual periods’ results are not indicative of future operating performance.</w:t>
      </w:r>
    </w:p>
    <w:p>
      <w:pPr>
        <w:spacing w:after="0" w:line="31"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products approved for sale and have never generated revenue from product sales. We may never generate revenue from product sales or achieve profitability.</w:t>
      </w:r>
    </w:p>
    <w:p>
      <w:pPr>
        <w:spacing w:after="0" w:line="54" w:lineRule="exact"/>
        <w:rPr>
          <w:sz w:val="20"/>
          <w:szCs w:val="20"/>
          <w:color w:val="auto"/>
        </w:rPr>
      </w:pPr>
    </w:p>
    <w:p>
      <w:pPr>
        <w:ind w:right="280" w:firstLine="636"/>
        <w:spacing w:after="0" w:line="259" w:lineRule="auto"/>
        <w:rPr>
          <w:sz w:val="20"/>
          <w:szCs w:val="20"/>
          <w:color w:val="auto"/>
        </w:rPr>
      </w:pPr>
      <w:r>
        <w:rPr>
          <w:rFonts w:ascii="Times New Roman" w:cs="Times New Roman" w:eastAsia="Times New Roman" w:hAnsi="Times New Roman"/>
          <w:sz w:val="18"/>
          <w:szCs w:val="18"/>
          <w:color w:val="auto"/>
        </w:rPr>
        <w:t>To date, we have not generated any revenues from product sales. Our ability to generate revenues from product sales and achieve profitability will depend on our ability to successfully develop and subsequently obtain regulatory approval for and commercialize, our product candidates. Our ability to generate revenues and achieve profitability also depends on a number of additional factors, including our ability to:</w:t>
      </w:r>
    </w:p>
    <w:p>
      <w:pPr>
        <w:spacing w:after="0" w:line="72" w:lineRule="exact"/>
        <w:rPr>
          <w:sz w:val="20"/>
          <w:szCs w:val="20"/>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our research activities to identify the technologies and product candidates to further investigate in clinical trials;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development activities, including the necessary clinical trials;</w:t>
      </w:r>
    </w:p>
    <w:p>
      <w:pPr>
        <w:spacing w:after="0" w:line="111" w:lineRule="exact"/>
        <w:rPr>
          <w:rFonts w:ascii="Times New Roman" w:cs="Times New Roman" w:eastAsia="Times New Roman" w:hAnsi="Times New Roman"/>
          <w:sz w:val="18"/>
          <w:szCs w:val="18"/>
          <w:color w:val="auto"/>
        </w:rPr>
      </w:pPr>
    </w:p>
    <w:p>
      <w:pPr>
        <w:ind w:left="640" w:right="200" w:hanging="316"/>
        <w:spacing w:after="0" w:line="274"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submit regulatory submissions to the FDA, the European Medicines Agency (EMA) or other agencies and obtain regulatory approval for indications for which there is a commercial market;</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reimbursement from third parties, including government and private payors;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commercially viable prices for our products, if any;</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manufacturing and distribution processes for our product candidates;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commercial quantities of our products at acceptable cost levels;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adequate supply of our product candidates, including the starting materials and reagents needed;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supply of our product candidates in a manner that is compliant with global legal requirements or to the extent necessary;</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manufacturing relationships with reliable third parties;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products, if any;</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rights in our intellectual property portfolio;</w:t>
      </w:r>
    </w:p>
    <w:p>
      <w:pPr>
        <w:spacing w:after="0" w:line="111" w:lineRule="exact"/>
        <w:rPr>
          <w:rFonts w:ascii="Times New Roman" w:cs="Times New Roman" w:eastAsia="Times New Roman" w:hAnsi="Times New Roman"/>
          <w:sz w:val="18"/>
          <w:szCs w:val="18"/>
          <w:color w:val="auto"/>
        </w:rPr>
      </w:pPr>
    </w:p>
    <w:p>
      <w:pPr>
        <w:ind w:left="640" w:right="180" w:hanging="316"/>
        <w:spacing w:after="0" w:line="274"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 commercial organization capable of sales, marketing and distribution for any products we intend to sell ourselves in the markets in which we choose to commercialize on our own; and</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 suitable distribution partners to help us market, sell and distribute our approved products in other markets.</w:t>
      </w:r>
    </w:p>
    <w:p>
      <w:pPr>
        <w:spacing w:after="0" w:line="111" w:lineRule="exact"/>
        <w:rPr>
          <w:sz w:val="20"/>
          <w:szCs w:val="20"/>
          <w:color w:val="auto"/>
        </w:rPr>
      </w:pPr>
    </w:p>
    <w:p>
      <w:pPr>
        <w:ind w:firstLine="636"/>
        <w:spacing w:after="0" w:line="251" w:lineRule="auto"/>
        <w:rPr>
          <w:sz w:val="20"/>
          <w:szCs w:val="20"/>
          <w:color w:val="auto"/>
        </w:rPr>
      </w:pPr>
      <w:r>
        <w:rPr>
          <w:rFonts w:ascii="Times New Roman" w:cs="Times New Roman" w:eastAsia="Times New Roman" w:hAnsi="Times New Roman"/>
          <w:sz w:val="18"/>
          <w:szCs w:val="18"/>
          <w:color w:val="auto"/>
        </w:rPr>
        <w:t>Our revenues for any product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In addition, we anticipate incurring significant costs associated with commercializing any approved product. As a result, even if we generate revenue from product sales, we may not become profitable and may need to obtain additional funding to continue operations. If we fail to become profitable or are unable to sustain profitability on a continuing basis, then we may be unable to continue our operations at planned levels and may be forced to reduce our operations.</w:t>
      </w:r>
    </w:p>
    <w:p>
      <w:pPr>
        <w:spacing w:after="0" w:line="75"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achieve our goals, and a failure to obtain this necessary capital when needed could force us to delay, limit, reduce or terminate our product development or commercialization efforts.</w:t>
      </w:r>
    </w:p>
    <w:p>
      <w:pPr>
        <w:spacing w:after="0" w:line="54" w:lineRule="exact"/>
        <w:rPr>
          <w:sz w:val="20"/>
          <w:szCs w:val="20"/>
          <w:color w:val="auto"/>
        </w:rPr>
      </w:pPr>
    </w:p>
    <w:p>
      <w:pPr>
        <w:ind w:right="140" w:firstLine="636"/>
        <w:spacing w:after="0" w:line="266" w:lineRule="auto"/>
        <w:rPr>
          <w:sz w:val="20"/>
          <w:szCs w:val="20"/>
          <w:color w:val="auto"/>
        </w:rPr>
      </w:pPr>
      <w:r>
        <w:rPr>
          <w:rFonts w:ascii="Times New Roman" w:cs="Times New Roman" w:eastAsia="Times New Roman" w:hAnsi="Times New Roman"/>
          <w:sz w:val="17"/>
          <w:szCs w:val="17"/>
          <w:color w:val="auto"/>
        </w:rPr>
        <w:t>We expect to expend substantial resources for the foreseeable future to advance and expand our research pipeline, conduct nonclinical studies and pursue clinical development and manufacturing of our product candidates. We also expect to continue to expend resources for the development of our technology platforms. These expenditures will include costs associated with research and development, potentially acquiring or licensing new technologies, conducting nonclinical studies and clinical trials and potentially obtaining regulatory approvals and manufacturing products, as well as marketing and selling products approved for sale, if any. We will also need to make significant expenditures to develop a commercial organization capable of sales, marketing and distribution for any products, if any, that we intend to sell ourselves in the markets in which we choose to commercialize. In addition, we may be required to make substantial payments related to our success payment agreements and other contingent consideration payments under our license and collaboration agreements. Because the design and outcome of our planned and anticipated clinical trials are highly uncertain, we cannot reasonably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8"/>
          <w:szCs w:val="18"/>
          <w:color w:val="auto"/>
        </w:rPr>
        <w:t>estimate the actual amounts necessary to successfully complete the discovery, development and commercialization of our potential product candidates, and other unanticipated costs may arise.</w:t>
      </w:r>
    </w:p>
    <w:p>
      <w:pPr>
        <w:spacing w:after="0" w:line="57" w:lineRule="exact"/>
        <w:rPr>
          <w:sz w:val="20"/>
          <w:szCs w:val="20"/>
          <w:color w:val="auto"/>
        </w:rPr>
      </w:pPr>
    </w:p>
    <w:p>
      <w:pPr>
        <w:ind w:firstLine="636"/>
        <w:spacing w:after="0" w:line="252" w:lineRule="auto"/>
        <w:rPr>
          <w:sz w:val="20"/>
          <w:szCs w:val="20"/>
          <w:color w:val="auto"/>
        </w:rPr>
      </w:pPr>
      <w:r>
        <w:rPr>
          <w:rFonts w:ascii="Times New Roman" w:cs="Times New Roman" w:eastAsia="Times New Roman" w:hAnsi="Times New Roman"/>
          <w:sz w:val="18"/>
          <w:szCs w:val="18"/>
          <w:color w:val="auto"/>
        </w:rPr>
        <w:t>As of December 31, 2022, we had approximately $710.3 million in cash, cash equivalents and marketable securities. As a result of expense timing, as well as diligent expense management, we believe that our existing cash, cash equivalents and marketable securities will be sufficient to meet our working capital and capital expenditure needs into 2026. However, our future capital requirements and the period for which our existing resources will support our operations may vary significantly from what we expect, and we will in any event require additional capital to complete clinical development of any of our current programs.</w:t>
      </w:r>
    </w:p>
    <w:p>
      <w:pPr>
        <w:spacing w:after="0" w:line="79" w:lineRule="exact"/>
        <w:rPr>
          <w:sz w:val="20"/>
          <w:szCs w:val="20"/>
          <w:color w:val="auto"/>
        </w:rPr>
      </w:pPr>
    </w:p>
    <w:p>
      <w:pPr>
        <w:ind w:right="60" w:firstLine="636"/>
        <w:spacing w:after="0" w:line="249" w:lineRule="auto"/>
        <w:rPr>
          <w:sz w:val="20"/>
          <w:szCs w:val="20"/>
          <w:color w:val="auto"/>
        </w:rPr>
      </w:pPr>
      <w:r>
        <w:rPr>
          <w:rFonts w:ascii="Times New Roman" w:cs="Times New Roman" w:eastAsia="Times New Roman" w:hAnsi="Times New Roman"/>
          <w:sz w:val="18"/>
          <w:szCs w:val="18"/>
          <w:color w:val="auto"/>
        </w:rPr>
        <w:t>We do not have any committed external source of funds. Additional funds may not be available when we need them on terms that are acceptable to us, or at all, and our ability to raise additional capital may be adversely impacted by potential worsening global economic conditions or conditions in the biotechnology sector of the market, including disruptions to or volatility in the credit and financial markets in the United States and worldwide resulting from the COVID-19 pandemic and its effects, actual or perceived changes in interest rates and economic inflation and the current or anticipated impact of geopolitical instability. If adequate funds are not available to us on a timely basis, including pursuant to the Equity Distribution Agreement, we may be required to delay, limit, reduce or terminate nonclinical studies, clinical trials or other development activities for our product candidates or delay, limit, reduce or terminate our establishment of sales, marketing and distribution capabilities or other activities that may be necessary to commercialize our product candidates.</w:t>
      </w:r>
    </w:p>
    <w:p>
      <w:pPr>
        <w:spacing w:after="0" w:line="8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success payment obligations in our success payment agreements may result in dilution to our stockholders or may be a drain on our cash resources to satisfy the payment obligations.</w:t>
      </w:r>
    </w:p>
    <w:p>
      <w:pPr>
        <w:spacing w:after="0" w:line="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agreed to make success payments payable in cash or publicly-tradeable shares of our common stock at our discretion pursuant to our success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payment agreements with Fred Hutch and Stanford. On each contractually prescribed measurement date, we may be required to make success payments based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increases in the per share fair value of our common stock. The total amount of success payments that we may become obligated to make is currently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$400.0 million and may increase in the future due to amendments of our existing success payment agreements. For information related to our success payment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obligations, see Note 3, </w:t>
      </w:r>
      <w:r>
        <w:rPr>
          <w:rFonts w:ascii="Times New Roman" w:cs="Times New Roman" w:eastAsia="Times New Roman" w:hAnsi="Times New Roman"/>
          <w:sz w:val="17"/>
          <w:szCs w:val="17"/>
          <w:i w:val="1"/>
          <w:iCs w:val="1"/>
          <w:color w:val="auto"/>
        </w:rPr>
        <w:t>License, Collaboration and Success Payment Agreements</w:t>
      </w:r>
      <w:r>
        <w:rPr>
          <w:rFonts w:ascii="Times New Roman" w:cs="Times New Roman" w:eastAsia="Times New Roman" w:hAnsi="Times New Roman"/>
          <w:sz w:val="17"/>
          <w:szCs w:val="17"/>
          <w:color w:val="auto"/>
        </w:rPr>
        <w:t>, in the accompanying notes to the audited consolidated financial statements</w:t>
      </w:r>
    </w:p>
    <w:p>
      <w:pPr>
        <w:spacing w:after="0" w:line="1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included in Part II, Item 8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92" w:lineRule="exact"/>
        <w:rPr>
          <w:sz w:val="20"/>
          <w:szCs w:val="20"/>
          <w:color w:val="auto"/>
        </w:rPr>
      </w:pPr>
    </w:p>
    <w:p>
      <w:pPr>
        <w:jc w:val="both"/>
        <w:ind w:right="20" w:firstLine="636"/>
        <w:spacing w:after="0" w:line="255" w:lineRule="auto"/>
        <w:rPr>
          <w:sz w:val="20"/>
          <w:szCs w:val="20"/>
          <w:color w:val="auto"/>
        </w:rPr>
      </w:pPr>
      <w:r>
        <w:rPr>
          <w:rFonts w:ascii="Times New Roman" w:cs="Times New Roman" w:eastAsia="Times New Roman" w:hAnsi="Times New Roman"/>
          <w:sz w:val="18"/>
          <w:szCs w:val="18"/>
          <w:color w:val="auto"/>
        </w:rPr>
        <w:t>In order to satisfy our obligations to make these success payments, if and when they are triggered, we may issue equity or convertible debt securities that may cause dilution to our stockholders, or we may use our existing cash to satisfy the success payment obligation in cash, which may adversely affect our financial position. In addition, these success payments may impede our ability to raise money in future public offerings of debt or equity securities or to obtain a third-party line of credit.</w:t>
      </w:r>
    </w:p>
    <w:p>
      <w:pPr>
        <w:spacing w:after="0" w:line="70"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success payment agreements may cause operating results to fluctuate significantly from quarter to quarter and year to year, which may reduce the usefulness of our consolidated financial statements.</w:t>
      </w:r>
    </w:p>
    <w:p>
      <w:pPr>
        <w:spacing w:after="0" w:line="54" w:lineRule="exact"/>
        <w:rPr>
          <w:sz w:val="20"/>
          <w:szCs w:val="20"/>
          <w:color w:val="auto"/>
        </w:rPr>
      </w:pPr>
    </w:p>
    <w:p>
      <w:pPr>
        <w:ind w:firstLine="636"/>
        <w:spacing w:after="0" w:line="267" w:lineRule="auto"/>
        <w:rPr>
          <w:sz w:val="20"/>
          <w:szCs w:val="20"/>
          <w:color w:val="auto"/>
        </w:rPr>
      </w:pPr>
      <w:r>
        <w:rPr>
          <w:rFonts w:ascii="Times New Roman" w:cs="Times New Roman" w:eastAsia="Times New Roman" w:hAnsi="Times New Roman"/>
          <w:sz w:val="17"/>
          <w:szCs w:val="17"/>
          <w:color w:val="auto"/>
        </w:rPr>
        <w:t xml:space="preserve">Our success payment obligations are recorded as liabilities on our consolidated balance sheets. Under U.S. generally accepted accounting principles (GAAP), we are required to estimate the fair value of these liabilities as of each quarter end and changes in the estimated fair value are accreted to research and development expense over the service period of the collaboration agreement. Factors that may lead to increases or decreases in the estimated fair value of this liability include, among others, changes in the value of the common stock, changes in volatility and changes in the risk-free rate. As a result, our operating results and financial condition as reported by GAAP may fluctuate significantly from quarter to quarter and from year to year and may reduce the usefulness of our GAAP consolidated financial statements. See Note 3, </w:t>
      </w:r>
      <w:r>
        <w:rPr>
          <w:rFonts w:ascii="Times New Roman" w:cs="Times New Roman" w:eastAsia="Times New Roman" w:hAnsi="Times New Roman"/>
          <w:sz w:val="17"/>
          <w:szCs w:val="17"/>
          <w:i w:val="1"/>
          <w:iCs w:val="1"/>
          <w:color w:val="auto"/>
        </w:rPr>
        <w:t>License, Collaboration and Success Payment Agreements</w:t>
      </w:r>
      <w:r>
        <w:rPr>
          <w:rFonts w:ascii="Times New Roman" w:cs="Times New Roman" w:eastAsia="Times New Roman" w:hAnsi="Times New Roman"/>
          <w:sz w:val="17"/>
          <w:szCs w:val="17"/>
          <w:color w:val="auto"/>
        </w:rPr>
        <w:t>, in the accompanying notes to the audited consolidated financial statement included in Part II, Item 8 of this Annual Report on Form 10-K for additional information.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09"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research and development efforts and just beginning clinical development of our product candidates. If we are unable to successfully develop and commercialize product candidates or experience significant delays in doing so, our business may be harmed.</w:t>
      </w:r>
    </w:p>
    <w:p>
      <w:pPr>
        <w:spacing w:after="0" w:line="54" w:lineRule="exact"/>
        <w:rPr>
          <w:sz w:val="20"/>
          <w:szCs w:val="20"/>
          <w:color w:val="auto"/>
        </w:rPr>
      </w:pPr>
    </w:p>
    <w:p>
      <w:pPr>
        <w:ind w:right="300" w:firstLine="636"/>
        <w:spacing w:after="0" w:line="255" w:lineRule="auto"/>
        <w:rPr>
          <w:sz w:val="20"/>
          <w:szCs w:val="20"/>
          <w:color w:val="auto"/>
        </w:rPr>
      </w:pPr>
      <w:r>
        <w:rPr>
          <w:rFonts w:ascii="Times New Roman" w:cs="Times New Roman" w:eastAsia="Times New Roman" w:hAnsi="Times New Roman"/>
          <w:sz w:val="18"/>
          <w:szCs w:val="18"/>
          <w:color w:val="auto"/>
        </w:rPr>
        <w:t>We are early in our research and development efforts and are just beginning clinical development of our product candidates. Besides LYL797 and LYL845, which are in Phase 1 clinical development, our other proprietary product candidates are currently in nonclinical development. We have not yet demonstrated our ability to successfully complete any clinical trials (including any Phase 3 or other pivotal clinical trials), obtain regulatory approvals, manufacture a commercial</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scale product or arrange for a third party to do so on our behalf, or conduct sales and marketing activities necessary for successful product commercialization. We have invested substantial resources in developing our technology platforms and our product candidates, conducting nonclinical studies, commencing clinical trials and building our manufacturing facilities and capabilities, each of which will be required prior to any regulatory approval and commercialization. Our ability to generate revenue from product sales, which we do not expect will occur for several years, if ever, will depend heavily on the successful research and development and eventual commercialization of one or more product candidates. The success of our efforts to identify and develop product candidates will depend on many factors, including the following:</w:t>
      </w:r>
    </w:p>
    <w:p>
      <w:pPr>
        <w:spacing w:after="0" w:line="79" w:lineRule="exact"/>
        <w:rPr>
          <w:sz w:val="20"/>
          <w:szCs w:val="20"/>
          <w:color w:val="auto"/>
        </w:rPr>
      </w:pPr>
    </w:p>
    <w:p>
      <w:pPr>
        <w:ind w:left="640" w:hanging="316"/>
        <w:spacing w:after="0" w:line="274"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completion of our nonclinical studies and research activities to identify and develop product candidates to investigate in clinical trials;</w:t>
      </w:r>
    </w:p>
    <w:p>
      <w:pPr>
        <w:spacing w:after="0" w:line="57" w:lineRule="exact"/>
        <w:rPr>
          <w:rFonts w:ascii="Times New Roman" w:cs="Times New Roman" w:eastAsia="Times New Roman" w:hAnsi="Times New Roman"/>
          <w:sz w:val="18"/>
          <w:szCs w:val="18"/>
          <w:color w:val="auto"/>
        </w:rPr>
      </w:pPr>
    </w:p>
    <w:p>
      <w:pPr>
        <w:ind w:left="640" w:right="940" w:hanging="316"/>
        <w:spacing w:after="0" w:line="274"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INDs to the FDA to proceed with clinical trials, or comparable applications to foreign regulatory authorities that allow the commencement of our planned clinical trials for our product candidates;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 in compliance with GCP requirements with positive results;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efficacy observed with our product candidates;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experienced with any of our product candidates;</w:t>
      </w:r>
    </w:p>
    <w:p>
      <w:pPr>
        <w:spacing w:after="0" w:line="111" w:lineRule="exact"/>
        <w:rPr>
          <w:rFonts w:ascii="Times New Roman" w:cs="Times New Roman" w:eastAsia="Times New Roman" w:hAnsi="Times New Roman"/>
          <w:sz w:val="18"/>
          <w:szCs w:val="18"/>
          <w:color w:val="auto"/>
        </w:rPr>
      </w:pPr>
    </w:p>
    <w:p>
      <w:pPr>
        <w:ind w:left="640" w:right="160" w:hanging="316"/>
        <w:spacing w:after="0" w:line="274"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developing, or making arrangements with third parties for, manufacturing and distribution processes for our product candidates and for commercial manufacturing and distribution for any of our product candidates that receive regulatory approval;</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timely regulatory approvals from applicable authorities for our product candidates for their intended uses;</w:t>
      </w:r>
    </w:p>
    <w:p>
      <w:pPr>
        <w:spacing w:after="0" w:line="111" w:lineRule="exact"/>
        <w:rPr>
          <w:rFonts w:ascii="Times New Roman" w:cs="Times New Roman" w:eastAsia="Times New Roman" w:hAnsi="Times New Roman"/>
          <w:sz w:val="18"/>
          <w:szCs w:val="18"/>
          <w:color w:val="auto"/>
        </w:rPr>
      </w:pPr>
    </w:p>
    <w:p>
      <w:pPr>
        <w:ind w:left="640" w:right="240" w:hanging="316"/>
        <w:spacing w:after="0" w:line="274"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 including by obtaining and maintaining patent and trade secret protection and regulatory exclusivity for our product candidates;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capabilities and infrastructure to obtain the tumor tissues needed to develop and, if successful, commercialize approved products;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our product candidates at an acceptable cost;</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products, if approved by applicable regulatory authorities, whether alone or in collaboration with others;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approved by applicable regulatory authorities, by patients and the medical community;</w:t>
      </w:r>
    </w:p>
    <w:p>
      <w:pPr>
        <w:spacing w:after="0" w:line="111" w:lineRule="exact"/>
        <w:rPr>
          <w:rFonts w:ascii="Times New Roman" w:cs="Times New Roman" w:eastAsia="Times New Roman" w:hAnsi="Times New Roman"/>
          <w:sz w:val="18"/>
          <w:szCs w:val="18"/>
          <w:color w:val="auto"/>
        </w:rPr>
      </w:pPr>
    </w:p>
    <w:p>
      <w:pPr>
        <w:ind w:left="640" w:right="180" w:hanging="316"/>
        <w:spacing w:after="0" w:line="274"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coverage and adequate reimbursement by third-party payors, including government payors, for our products, if approved by applicable regulatory authorities;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marketed therapies;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compliance with regulatory requirements, including the cGMP requirements;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benefit/risk profile of the products following approval;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scientists and functional experts who can develop and commercialize our products and technology.</w:t>
      </w:r>
    </w:p>
    <w:p>
      <w:pPr>
        <w:spacing w:after="0" w:line="111" w:lineRule="exact"/>
        <w:rPr>
          <w:sz w:val="20"/>
          <w:szCs w:val="20"/>
          <w:color w:val="auto"/>
        </w:rPr>
      </w:pPr>
    </w:p>
    <w:p>
      <w:pPr>
        <w:jc w:val="both"/>
        <w:ind w:right="240" w:firstLine="636"/>
        <w:spacing w:after="0" w:line="259"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develop and commercialize our product candidates, which could harm our business. If we do not receive marketing approvals for any product candidate we develop, we may not be able to continue our operations.</w:t>
      </w:r>
    </w:p>
    <w:p>
      <w:pPr>
        <w:spacing w:after="0" w:line="68"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Our product candidates and technology platforms are based on novel technologies that are unproven and may not result in approvable or marketable products, which exposes us to unforeseen risks and makes it difficult for us to predict the time and cost of product development and potential for regulatory approval, and we may not be successful in our efforts to use and expand our technology platforms to build a pipeline of product candidates.</w:t>
      </w:r>
    </w:p>
    <w:p>
      <w:pPr>
        <w:spacing w:after="0" w:line="52" w:lineRule="exact"/>
        <w:rPr>
          <w:sz w:val="20"/>
          <w:szCs w:val="20"/>
          <w:color w:val="auto"/>
        </w:rPr>
      </w:pPr>
    </w:p>
    <w:p>
      <w:pPr>
        <w:ind w:right="20" w:firstLine="636"/>
        <w:spacing w:after="0" w:line="255" w:lineRule="auto"/>
        <w:rPr>
          <w:sz w:val="20"/>
          <w:szCs w:val="20"/>
          <w:color w:val="auto"/>
        </w:rPr>
      </w:pPr>
      <w:r>
        <w:rPr>
          <w:rFonts w:ascii="Times New Roman" w:cs="Times New Roman" w:eastAsia="Times New Roman" w:hAnsi="Times New Roman"/>
          <w:sz w:val="18"/>
          <w:szCs w:val="18"/>
          <w:color w:val="auto"/>
        </w:rPr>
        <w:t>We are seeking to identify and develop a broad pipeline of product candidates using our proprietary technology platforms. The scientific research that forms the basis of our efforts to develop product candidates with our technology platforms is still ongoing. We are not aware of any FDA approved therapeutics utilizing similar technology. Further, the scientific evidence to support the feasibility of developing therapeutic treatments based on our technology platforms are both preliminary and limited. Additionally, although LYL797 and LYL845 are in Phase 1 clinical development, our current</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clinical data are limited, and nonclinical data from murine tumor models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experiments with tumor cell lines may not translate into humans or may not accurately predict the safety and efficacy of our product candidates in humans. As a result, we are exposed to a number of unforeseen risks, and it is difficult to predict the types of challenges and risks that we may encounter during development of our product candidates.</w:t>
      </w:r>
    </w:p>
    <w:p>
      <w:pPr>
        <w:spacing w:after="0" w:line="69" w:lineRule="exact"/>
        <w:rPr>
          <w:sz w:val="20"/>
          <w:szCs w:val="20"/>
          <w:color w:val="auto"/>
        </w:rPr>
      </w:pPr>
    </w:p>
    <w:p>
      <w:pPr>
        <w:ind w:firstLine="636"/>
        <w:spacing w:after="0" w:line="248" w:lineRule="auto"/>
        <w:rPr>
          <w:sz w:val="20"/>
          <w:szCs w:val="20"/>
          <w:color w:val="auto"/>
        </w:rPr>
      </w:pPr>
      <w:r>
        <w:rPr>
          <w:rFonts w:ascii="Times New Roman" w:cs="Times New Roman" w:eastAsia="Times New Roman" w:hAnsi="Times New Roman"/>
          <w:sz w:val="18"/>
          <w:szCs w:val="18"/>
          <w:color w:val="auto"/>
        </w:rPr>
        <w:t>Given the novelty of our technology platforms, we intend to work closely with the FDA and comparable foreign regulatory authorities to perform the requisite scientific analyses and evaluation of our methods to obtain regulatory approval for our product candidates; however, due to a lack of relevant experiences, the regulatory pathway with the FDA and comparable regulatory authorities may be more complex and time-consuming relative to other more well-known therapeutics. Even if we obtain human data to support our product candidates, the FDA or comparable foreign regulatory agencies may lack experience in evaluating the safety and efficacy of our product candidates developed using our technology platforms, which could result in a longer than expected regulatory review process, increase our expected development costs and delay or prevent commercialization of our product candidates. The validation process takes time and resources, may require independent third-party analyses and may not be accepted or approved by the FDA and comparable foreign regulatory authorities. There can be no assurance as to the length of clinical development, the number of patients that the FDA may require to be enrolled in clinical trials to establish the safety, purity and potency of our product candidates or the acceptability to the FDA of data generated in these clinical trials to support marketing approvals. We cannot be certain that our approach will lead to the development of approvable or marketable products, alone or in combination with other therapies.</w:t>
      </w:r>
    </w:p>
    <w:p>
      <w:pPr>
        <w:spacing w:after="0" w:line="81"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if we are not successful in attracting and retaining highly qualified personnel, we may not be able to successfully implement our business strategy.</w:t>
      </w:r>
    </w:p>
    <w:p>
      <w:pPr>
        <w:spacing w:after="0" w:line="54" w:lineRule="exact"/>
        <w:rPr>
          <w:sz w:val="20"/>
          <w:szCs w:val="20"/>
          <w:color w:val="auto"/>
        </w:rPr>
      </w:pPr>
    </w:p>
    <w:p>
      <w:pPr>
        <w:ind w:right="20" w:firstLine="636"/>
        <w:spacing w:after="0" w:line="249"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and retain highly qualified managerial, scientific and medical personnel. We are highly dependent on our management, manufacturing, scientific and medical personnel. The loss of the services of any of our executive officers, other key employees and other scientific and medical advisors and our inability to find suitable replacements could result in delays in product development and harm our business. We conduct substantially all of our operations at our facilities in the San Francisco, Seattle and Bothell metropolitan areas. These regions are headquarters to many other biopharmaceutical companies and many academic and research institutions. Competition for skilled personnel in these markets is intense and may limit our ability to hire and retain highly qualified personnel on acceptable terms or at all. For example, in 2022 our former Chief Executive Officer resigned for personal reasons and our former Chief General Counsel resigned to pursue opportunities elsewhere. We could experience additional resignations of other executives and employees in the future given the intensity of the competition for talent in the biotechnology industry, particularly in the San Francisco and Seattle metropolitan areas.</w:t>
      </w:r>
    </w:p>
    <w:p>
      <w:pPr>
        <w:spacing w:after="0" w:line="81" w:lineRule="exact"/>
        <w:rPr>
          <w:sz w:val="20"/>
          <w:szCs w:val="20"/>
          <w:color w:val="auto"/>
        </w:rPr>
      </w:pPr>
    </w:p>
    <w:p>
      <w:pPr>
        <w:ind w:firstLine="636"/>
        <w:spacing w:after="0" w:line="249" w:lineRule="auto"/>
        <w:rPr>
          <w:sz w:val="20"/>
          <w:szCs w:val="20"/>
          <w:color w:val="auto"/>
        </w:rPr>
      </w:pPr>
      <w:r>
        <w:rPr>
          <w:rFonts w:ascii="Times New Roman" w:cs="Times New Roman" w:eastAsia="Times New Roman" w:hAnsi="Times New Roman"/>
          <w:sz w:val="18"/>
          <w:szCs w:val="18"/>
          <w:color w:val="auto"/>
        </w:rPr>
        <w:t>To induce valuable employees to remain at our company, in addition to salary and cash incentives, we have provided equity that vests over time. The value to employees of equity incentives that vest over time may be significantly affected by factors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litigation or adversarial proceedings could be costly and time-consuming to defend.</w:t>
      </w:r>
    </w:p>
    <w:p>
      <w:pPr>
        <w:spacing w:after="0" w:line="115" w:lineRule="exact"/>
        <w:rPr>
          <w:sz w:val="20"/>
          <w:szCs w:val="20"/>
          <w:color w:val="auto"/>
        </w:rPr>
      </w:pPr>
    </w:p>
    <w:p>
      <w:pPr>
        <w:ind w:right="40" w:firstLine="636"/>
        <w:spacing w:after="0" w:line="248" w:lineRule="auto"/>
        <w:rPr>
          <w:sz w:val="20"/>
          <w:szCs w:val="20"/>
          <w:color w:val="auto"/>
        </w:rPr>
      </w:pPr>
      <w:r>
        <w:rPr>
          <w:rFonts w:ascii="Times New Roman" w:cs="Times New Roman" w:eastAsia="Times New Roman" w:hAnsi="Times New Roman"/>
          <w:sz w:val="18"/>
          <w:szCs w:val="18"/>
          <w:color w:val="auto"/>
        </w:rPr>
        <w:t xml:space="preserve">We have been and may in the future become subject to legal proceedings and claims that arise in the ordinary course of business, such as claims brought by us or third parties in connection with commercial disputes or employment claims made by our current or former employees. Litigation or adversarial proceedings might result in substantial costs and may divert management’s attention and resources, which might seriously harm our business, reputation, overall financial condition and operating results. For example, in February 2021, we filed a demand for arbitration seeking, among other things, rescission of each of the joint-development agreement (PACT Commitment Agreement) and stock purchase agreement (PACT SPA) we entered with PACT Pharma, Inc. (PACT) and recovery of the consideration paid thereunder. In October 2022, we entered into a settlement agreement with PACT to resolve the outstanding legal dispute. See Part I, Item 3,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of this Annual Report on Form 10-K for additional details regarding the outcome of our arbitration with PACT. Insurance might not cover such claims, might not provide sufficient payments to cover all the costs to resolve one or more such claims and might not continue to be available on terms acceptable to us. Any claim brought by us or against us that is uninsured or underinsured could result in unanticipated costs, thereby harming our business.</w:t>
      </w: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success and our business may be harmed.</w:t>
      </w:r>
    </w:p>
    <w:p>
      <w:pPr>
        <w:spacing w:after="0" w:line="115" w:lineRule="exact"/>
        <w:rPr>
          <w:sz w:val="20"/>
          <w:szCs w:val="20"/>
          <w:color w:val="auto"/>
        </w:rPr>
      </w:pPr>
    </w:p>
    <w:p>
      <w:pPr>
        <w:ind w:right="120" w:firstLine="636"/>
        <w:spacing w:after="0" w:line="255" w:lineRule="auto"/>
        <w:rPr>
          <w:sz w:val="20"/>
          <w:szCs w:val="20"/>
          <w:color w:val="auto"/>
        </w:rPr>
      </w:pPr>
      <w:r>
        <w:rPr>
          <w:rFonts w:ascii="Times New Roman" w:cs="Times New Roman" w:eastAsia="Times New Roman" w:hAnsi="Times New Roman"/>
          <w:sz w:val="18"/>
          <w:szCs w:val="18"/>
          <w:color w:val="auto"/>
        </w:rPr>
        <w:t>We believe our culture has been a key contributor to our success to date. Any failure to preserve our culture could negatively affect our ability to retain and recruit personnel, which is critical to our growth, and to effectively focus on and pursue our objectives. As we grow and are required to implement more complex organizational management structures, we may find it increasingly difficult to maintain the beneficial aspects of our culture. If we fail to maintain our company culture, our business may be adversely affected.</w:t>
      </w:r>
    </w:p>
    <w:p>
      <w:pPr>
        <w:spacing w:after="0" w:line="70"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sales or distribution infrastructure, and we intend to either establish a sales and marketing infrastructure or outsource this function to a third party. Either of these commercialization strategies carries substantial risks to us.</w:t>
      </w:r>
    </w:p>
    <w:p>
      <w:pPr>
        <w:spacing w:after="0" w:line="54" w:lineRule="exact"/>
        <w:rPr>
          <w:sz w:val="20"/>
          <w:szCs w:val="20"/>
          <w:color w:val="auto"/>
        </w:rPr>
      </w:pPr>
    </w:p>
    <w:p>
      <w:pPr>
        <w:ind w:firstLine="636"/>
        <w:spacing w:after="0" w:line="249" w:lineRule="auto"/>
        <w:rPr>
          <w:sz w:val="20"/>
          <w:szCs w:val="20"/>
          <w:color w:val="auto"/>
        </w:rPr>
      </w:pPr>
      <w:r>
        <w:rPr>
          <w:rFonts w:ascii="Times New Roman" w:cs="Times New Roman" w:eastAsia="Times New Roman" w:hAnsi="Times New Roman"/>
          <w:sz w:val="18"/>
          <w:szCs w:val="18"/>
          <w:color w:val="auto"/>
        </w:rPr>
        <w:t>We currently have no marketing, sales and distribution capabilities. To support commercial marketing and distribution of any of our product candidates that complete clinical development and are approved, we would either establish a sales and marketing organization with technical expertise and supporting distribution capabilities to commercialize our product candidates in a legally compliant manner or outsource this function to a third party. There are risks involved if we decide to establish our own sales and marketing capabilities or enter into arrangements with third parties to perform these services. To the extent that we enter into collaboration agreements with respect to marketing, sales or distribution, our product revenue may be lower than if we directly marketed or sold any approved products. Such collaborative arrangements with partners may place the commercialization of our products outside of our control and would make us subject to a number of risks, including that we may not be able to control the amount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w:t>
      </w:r>
    </w:p>
    <w:p>
      <w:pPr>
        <w:spacing w:after="0" w:line="81" w:lineRule="exact"/>
        <w:rPr>
          <w:sz w:val="20"/>
          <w:szCs w:val="20"/>
          <w:color w:val="auto"/>
        </w:rPr>
      </w:pPr>
    </w:p>
    <w:p>
      <w:pPr>
        <w:ind w:right="140" w:firstLine="636"/>
        <w:spacing w:after="0" w:line="255" w:lineRule="auto"/>
        <w:rPr>
          <w:sz w:val="20"/>
          <w:szCs w:val="20"/>
          <w:color w:val="auto"/>
        </w:rPr>
      </w:pPr>
      <w:r>
        <w:rPr>
          <w:rFonts w:ascii="Times New Roman" w:cs="Times New Roman" w:eastAsia="Times New Roman" w:hAnsi="Times New Roman"/>
          <w:sz w:val="18"/>
          <w:szCs w:val="18"/>
          <w:color w:val="auto"/>
        </w:rPr>
        <w:t>If we are unable to enter into these arrangements on acceptable terms or at all, we may not be able to successfully commercialize any approved products. If we are not successful in commercializing any approved products, either on our own or through collaborations with one or more third parties, our future product revenue will suffer, and we may incur significant additional losses, which would have a material adverse effect on our business, financial condition and results of operations.</w:t>
      </w:r>
    </w:p>
    <w:p>
      <w:pPr>
        <w:spacing w:after="0" w:line="70"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continue to be adversely affected by the effects of health epidemics, including the COVID-19 pandemic, in regions where we or third parties on which we rely have significant manufacturing facilities, concentrations of potential clinical trial sites or other business operations.</w:t>
      </w:r>
    </w:p>
    <w:p>
      <w:pPr>
        <w:spacing w:after="0" w:line="54" w:lineRule="exact"/>
        <w:rPr>
          <w:sz w:val="20"/>
          <w:szCs w:val="20"/>
          <w:color w:val="auto"/>
        </w:rPr>
      </w:pPr>
    </w:p>
    <w:p>
      <w:pPr>
        <w:ind w:right="80" w:firstLine="636"/>
        <w:spacing w:after="0" w:line="269" w:lineRule="auto"/>
        <w:rPr>
          <w:sz w:val="20"/>
          <w:szCs w:val="20"/>
          <w:color w:val="auto"/>
        </w:rPr>
      </w:pPr>
      <w:r>
        <w:rPr>
          <w:rFonts w:ascii="Times New Roman" w:cs="Times New Roman" w:eastAsia="Times New Roman" w:hAnsi="Times New Roman"/>
          <w:sz w:val="17"/>
          <w:szCs w:val="17"/>
          <w:color w:val="auto"/>
        </w:rPr>
        <w:t>Our business could continue to be adversely affected by health epidemics, including the COVID-19 pandemic and its effects, in regions where we or third parties on which we rely have significant manufacturing facilities, concentrations of potential clinical trial sites or other business operations. For example, the COVID-19 pandemic has presented a substantial public health and economic challenge around the world and is affecting employees, patients, communities and business operations, as well as the United States and international economy and financial markets. In this regard, the COVID-19 pandemic and government measures taken in response have had a significant impact, both direct and indirect, on businesses and commerce, as significant reductions in business-related activities have occurred, supply chains have been disrupted and manufacturing and clinical development activities have been impacted.</w:t>
      </w:r>
    </w:p>
    <w:p>
      <w:pPr>
        <w:spacing w:after="0" w:line="63" w:lineRule="exact"/>
        <w:rPr>
          <w:sz w:val="20"/>
          <w:szCs w:val="20"/>
          <w:color w:val="auto"/>
        </w:rPr>
      </w:pPr>
    </w:p>
    <w:p>
      <w:pPr>
        <w:ind w:right="100" w:firstLine="636"/>
        <w:spacing w:after="0" w:line="265" w:lineRule="auto"/>
        <w:rPr>
          <w:sz w:val="20"/>
          <w:szCs w:val="20"/>
          <w:color w:val="auto"/>
        </w:rPr>
      </w:pPr>
      <w:r>
        <w:rPr>
          <w:rFonts w:ascii="Times New Roman" w:cs="Times New Roman" w:eastAsia="Times New Roman" w:hAnsi="Times New Roman"/>
          <w:sz w:val="17"/>
          <w:szCs w:val="17"/>
          <w:color w:val="auto"/>
        </w:rPr>
        <w:t>Remote work policies, quarantines, shelter-in-place and similar government orders, shutdowns or other restrictions on the conduct of business operations related to the COVID-19 pandemic could materially and adversely affect our operations. Following guidance from federal, state and local authorities, we had previously implemented policies that restrict the number and nature of employees who can be on site, and such types of policies may be considered again in the future. We have also implemented preventative measures at our facilities, including requiring that each employee or contractor who enters a facility be vaccinated. In addition, we encourage all individuals on-site to follow recommendations for frequent hand washing and other precautions. In connection with these and potential future measures, we may be subject to claims based upon, arising out of or related to the COVID-19 pandemic and our actions and responses thereto, including any determinations that we have made and may make in the future with respect to our on-site operations. Further, current and future government restrictions as well as our remote work policies may materially and adversely impact productivity, disrupt our business and delay our nonclinical studies and clinical trial plans, the magnitude of which will depend, in part, on the length and severity of the restrictions and other limitations on our ability to conduct our business in the ordinary course. We continue to evaluate the impact that the COVID-19 pandemic may have on our</w:t>
      </w:r>
    </w:p>
    <w:p>
      <w:pPr>
        <w:spacing w:after="0" w:line="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ability to effectively conduct our business operations as planned. However, there can be no assurance that we will be able to avoid materially adverse impacts from the evolving effects of the COVID-19 pandemic. The COVID-19 pandemic may continue to negatively impact healthcare and hospital resources, including both front-line and administrative staff, which may delay enrollment in our current and planned clinical trials. Some patients may not be able to comply with clinical trial protocols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340"/>
        <w:spacing w:after="0" w:line="274" w:lineRule="auto"/>
        <w:rPr>
          <w:sz w:val="20"/>
          <w:szCs w:val="20"/>
          <w:color w:val="auto"/>
        </w:rPr>
      </w:pPr>
      <w:r>
        <w:rPr>
          <w:rFonts w:ascii="Times New Roman" w:cs="Times New Roman" w:eastAsia="Times New Roman" w:hAnsi="Times New Roman"/>
          <w:sz w:val="18"/>
          <w:szCs w:val="18"/>
          <w:color w:val="auto"/>
        </w:rPr>
        <w:t>due to potential quarantines, lack of healthcare support or potential interruptions of healthcare services, and we may be unable to obtain blood samples for testing.</w:t>
      </w:r>
    </w:p>
    <w:p>
      <w:pPr>
        <w:spacing w:after="0" w:line="57" w:lineRule="exact"/>
        <w:rPr>
          <w:sz w:val="20"/>
          <w:szCs w:val="20"/>
          <w:color w:val="auto"/>
        </w:rPr>
      </w:pPr>
    </w:p>
    <w:p>
      <w:pPr>
        <w:ind w:firstLine="636"/>
        <w:spacing w:after="0" w:line="248" w:lineRule="auto"/>
        <w:rPr>
          <w:sz w:val="20"/>
          <w:szCs w:val="20"/>
          <w:color w:val="auto"/>
        </w:rPr>
      </w:pPr>
      <w:r>
        <w:rPr>
          <w:rFonts w:ascii="Times New Roman" w:cs="Times New Roman" w:eastAsia="Times New Roman" w:hAnsi="Times New Roman"/>
          <w:sz w:val="18"/>
          <w:szCs w:val="18"/>
          <w:color w:val="auto"/>
        </w:rPr>
        <w:t>The extent of the impact of the COVID-19 pandemic on our business, operations and development timelines and plans remains uncertain and will depend on future developments that cannot be predicted at this time. Such developments include the continued spread of the Omicron variants and subvariants in the U.S. and other countries and the potential emergence of other SARS-CoV-2 variants that may prove especially contagious or virulent, the ultimate duration of the pandemic and the resulting impact on our clinical trial plans, CROs, contract manufacturing organizations and other third parties with whom we do business, as well as its impact on regulatory authorities and our key scientific and management personnel, and the effectiveness of actions taken globally to contain and treat the disease, including the rate at which vaccinations or boosters are made available, the percentage of the population that becomes vaccinated or boosted and the effectiveness of the vaccines or boosters against Omicron, its subvariants or other SARS-CoV-2 variants. We do not yet know the full extent of potential delays or impacts on our business, our planned nonclinical studies or clinical trials, healthcare systems or the global economy, as a whole. The foregoing and other continued disruptions to our business, as a result of the evolving effects of the COVID-19 pandemic, could materially and adversely affect our business, results of operations, financial condition and cash flows. Furthermore, the effects of the COVID-19 pandemic could heighten the risks in certain of the other risk factors described herein.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115" w:lineRule="exact"/>
        <w:rPr>
          <w:sz w:val="20"/>
          <w:szCs w:val="20"/>
          <w:color w:val="auto"/>
        </w:rPr>
      </w:pPr>
    </w:p>
    <w:p>
      <w:pPr>
        <w:ind w:right="20" w:firstLine="636"/>
        <w:spacing w:after="0" w:line="247" w:lineRule="auto"/>
        <w:rPr>
          <w:sz w:val="20"/>
          <w:szCs w:val="20"/>
          <w:color w:val="auto"/>
        </w:rPr>
      </w:pPr>
      <w:r>
        <w:rPr>
          <w:rFonts w:ascii="Times New Roman" w:cs="Times New Roman" w:eastAsia="Times New Roman" w:hAnsi="Times New Roman"/>
          <w:sz w:val="18"/>
          <w:szCs w:val="18"/>
          <w:color w:val="auto"/>
        </w:rPr>
        <w:t>The global credit and financial markets have experienced extreme volatility and disruptions (including as a result of the COVID-19 pandemic and actual or perceived changes in interest rates and economic inflation), which has included severely diminished liquidity and credit availability, declines in consumer confidence, declines in economic growth, high inflation, uncertainty about economic stability and swings in unemployment rates. The financial markets and the global economy may also be adversely affected by the current or anticipated impact of military conflict, acts of terrorism or other geopolitical events. Sanctions imposed by the United States and other countries in response to such conflicts, including the one in Ukraine,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including disruption to enrollment within our ongoing trials and our ability to purchase necessary supplies on acceptable terms, if at all.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w:t>
      </w:r>
    </w:p>
    <w:p>
      <w:pPr>
        <w:spacing w:after="0" w:line="109"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intend to manufacture most of each product candidate ourselves. Delays in qualifying or in receiving regulatory approvals for our manufacturing facility and product candidates could delay our development plans and thereby limit our ability to generate product revenues.</w:t>
      </w:r>
    </w:p>
    <w:p>
      <w:pPr>
        <w:spacing w:after="0" w:line="54" w:lineRule="exact"/>
        <w:rPr>
          <w:sz w:val="20"/>
          <w:szCs w:val="20"/>
          <w:color w:val="auto"/>
        </w:rPr>
      </w:pPr>
    </w:p>
    <w:p>
      <w:pPr>
        <w:ind w:right="220" w:firstLine="636"/>
        <w:spacing w:after="0" w:line="255" w:lineRule="auto"/>
        <w:rPr>
          <w:sz w:val="20"/>
          <w:szCs w:val="20"/>
          <w:color w:val="auto"/>
        </w:rPr>
      </w:pPr>
      <w:r>
        <w:rPr>
          <w:rFonts w:ascii="Times New Roman" w:cs="Times New Roman" w:eastAsia="Times New Roman" w:hAnsi="Times New Roman"/>
          <w:sz w:val="18"/>
          <w:szCs w:val="18"/>
          <w:color w:val="auto"/>
        </w:rPr>
        <w:t>We have built our own manufacturing facility in Bothell, Washington. The facility is designed to support the production of nonclinical and development product candidates and early commercialization of products, and ongoing facility and equipment qualification to support clinical production is required. If we are not able to qualify the facility or the appropriate regulatory approvals for the facility are delayed, we may be unable to manufacture sufficient quantities of our product candidates, if at all, which would limit our development activities and our opportunities for growth.</w:t>
      </w:r>
    </w:p>
    <w:p>
      <w:pPr>
        <w:spacing w:after="0" w:line="74" w:lineRule="exact"/>
        <w:rPr>
          <w:sz w:val="20"/>
          <w:szCs w:val="20"/>
          <w:color w:val="auto"/>
        </w:rPr>
      </w:pPr>
    </w:p>
    <w:p>
      <w:pPr>
        <w:ind w:right="80" w:firstLine="636"/>
        <w:spacing w:after="0" w:line="252" w:lineRule="auto"/>
        <w:rPr>
          <w:sz w:val="20"/>
          <w:szCs w:val="20"/>
          <w:color w:val="auto"/>
        </w:rPr>
      </w:pPr>
      <w:r>
        <w:rPr>
          <w:rFonts w:ascii="Times New Roman" w:cs="Times New Roman" w:eastAsia="Times New Roman" w:hAnsi="Times New Roman"/>
          <w:sz w:val="18"/>
          <w:szCs w:val="18"/>
          <w:color w:val="auto"/>
        </w:rPr>
        <w:t>In addition, our manufacturing facility will be subject to ongoing, periodic inspection by the FDA, EMA or other applicable regulatory agencies to ensure compliance with cGMPs and cGTPs. Our failure to follow and document our adherence to these regulations or other regulatory requirements may lead to significant delays in the availability of products for clinical or, in the future, commercial use. This may result in the termination of or a hold on a clinical trial, or may delay or prevent filing or approval of commercial marketing applications for our product candidates. We also may encounter problems with the following:</w:t>
      </w:r>
    </w:p>
    <w:p>
      <w:pPr>
        <w:spacing w:after="0" w:line="79" w:lineRule="exact"/>
        <w:rPr>
          <w:sz w:val="20"/>
          <w:szCs w:val="20"/>
          <w:color w:val="auto"/>
        </w:rPr>
      </w:pPr>
    </w:p>
    <w:p>
      <w:pPr>
        <w:ind w:left="640" w:right="20" w:hanging="316"/>
        <w:spacing w:after="0" w:line="274"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adequate or clinical-grade materials that meet regulatory agency standards or specifications with consistent and acceptable production yield and costs;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continuity among our key manufacturing-related electronic systems;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personnel, raw materials or key contractors;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compliance with cGMP regulations and other requirements of the FDA, EMA or other comparable regulatory agencies.</w:t>
      </w:r>
    </w:p>
    <w:p>
      <w:pPr>
        <w:spacing w:after="0" w:line="111" w:lineRule="exact"/>
        <w:rPr>
          <w:sz w:val="20"/>
          <w:szCs w:val="20"/>
          <w:color w:val="auto"/>
        </w:rPr>
      </w:pPr>
    </w:p>
    <w:p>
      <w:pPr>
        <w:ind w:firstLine="636"/>
        <w:spacing w:after="0" w:line="255" w:lineRule="auto"/>
        <w:rPr>
          <w:sz w:val="20"/>
          <w:szCs w:val="20"/>
          <w:color w:val="auto"/>
        </w:rPr>
      </w:pPr>
      <w:r>
        <w:rPr>
          <w:rFonts w:ascii="Times New Roman" w:cs="Times New Roman" w:eastAsia="Times New Roman" w:hAnsi="Times New Roman"/>
          <w:sz w:val="18"/>
          <w:szCs w:val="18"/>
          <w:color w:val="auto"/>
        </w:rPr>
        <w:t>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product candidates, delays, suspension or withdrawal of approvals, license revocation, seizures or recalls of product candidates, operating restrictions and criminal prosecutions, any of which could harm our business.</w:t>
      </w:r>
    </w:p>
    <w:p>
      <w:pPr>
        <w:spacing w:after="0" w:line="74" w:lineRule="exact"/>
        <w:rPr>
          <w:sz w:val="20"/>
          <w:szCs w:val="20"/>
          <w:color w:val="auto"/>
        </w:rPr>
      </w:pPr>
    </w:p>
    <w:p>
      <w:pPr>
        <w:ind w:right="120" w:firstLine="636"/>
        <w:spacing w:after="0" w:line="259" w:lineRule="auto"/>
        <w:rPr>
          <w:sz w:val="20"/>
          <w:szCs w:val="20"/>
          <w:color w:val="auto"/>
        </w:rPr>
      </w:pPr>
      <w:r>
        <w:rPr>
          <w:rFonts w:ascii="Times New Roman" w:cs="Times New Roman" w:eastAsia="Times New Roman" w:hAnsi="Times New Roman"/>
          <w:sz w:val="18"/>
          <w:szCs w:val="18"/>
          <w:color w:val="auto"/>
        </w:rPr>
        <w:t>Developing advanced manufacturing techniques and process controls is required to fully utilize our facility. Without further investment, advances in manufacturing techniques may render our facility and equipment inadequate or obsolete. We may also require further investment to build additional manufacturing facilities or expand the capacity of our existing ones.</w:t>
      </w:r>
    </w:p>
    <w:p>
      <w:pPr>
        <w:spacing w:after="0" w:line="68"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manufacturing of cellular therapies is very complex. We are subject to a multitude of manufacturing risks, any of which could substantially increase our costs, delay our programs or limit supply of our product candidates.</w:t>
      </w:r>
    </w:p>
    <w:p>
      <w:pPr>
        <w:spacing w:after="0" w:line="54" w:lineRule="exact"/>
        <w:rPr>
          <w:sz w:val="20"/>
          <w:szCs w:val="20"/>
          <w:color w:val="auto"/>
        </w:rPr>
      </w:pPr>
    </w:p>
    <w:p>
      <w:pPr>
        <w:ind w:right="40" w:firstLine="636"/>
        <w:spacing w:after="0" w:line="248" w:lineRule="auto"/>
        <w:rPr>
          <w:sz w:val="20"/>
          <w:szCs w:val="20"/>
          <w:color w:val="auto"/>
        </w:rPr>
      </w:pPr>
      <w:r>
        <w:rPr>
          <w:rFonts w:ascii="Times New Roman" w:cs="Times New Roman" w:eastAsia="Times New Roman" w:hAnsi="Times New Roman"/>
          <w:sz w:val="18"/>
          <w:szCs w:val="18"/>
          <w:color w:val="auto"/>
        </w:rPr>
        <w:t>Developing commercially viable manufacturing processes for cellular therapies is a difficult and uncertain task and requires significant expertise and capital investment. We are developing and implementing manufacturing processes for our product candidates. In particular, for autologous cell therapies, the starting material is the patient’s own cells, which inherently adds complexity and variability to the manufacturing process. In addition, our ability to consistently and reliably manufacture our cellular therapy product candidates is essential to our success, and there are risks associated with scaling to the level required for advanced clinical trials or commercialization, including cost overruns, potential problems with process scale-up, process reproducibility, stability issues, consistency and timely availability of reagents or raw materials. Furthermore, our manufacturing processes may have significant dependencies on third parties, which will pose additional risks to our manufacturing capabilities. Additionally, 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never be able to develop a commercially viable product.</w:t>
      </w:r>
    </w:p>
    <w:p>
      <w:pPr>
        <w:spacing w:after="0" w:line="87" w:lineRule="exact"/>
        <w:rPr>
          <w:sz w:val="20"/>
          <w:szCs w:val="20"/>
          <w:color w:val="auto"/>
        </w:rPr>
      </w:pPr>
    </w:p>
    <w:p>
      <w:pPr>
        <w:ind w:right="40" w:firstLine="636"/>
        <w:spacing w:after="0" w:line="250" w:lineRule="auto"/>
        <w:rPr>
          <w:sz w:val="20"/>
          <w:szCs w:val="20"/>
          <w:color w:val="auto"/>
        </w:rPr>
      </w:pPr>
      <w:r>
        <w:rPr>
          <w:rFonts w:ascii="Times New Roman" w:cs="Times New Roman" w:eastAsia="Times New Roman" w:hAnsi="Times New Roman"/>
          <w:sz w:val="18"/>
          <w:szCs w:val="18"/>
          <w:color w:val="auto"/>
        </w:rPr>
        <w:t>In addition to the factors mentioned above, the overall process of manufacturing cellular therapies is extremely susceptible to product loss due to low cell viability, contamination, equipment failure or improper installation or operation of equipment, or vendor or operator error. Even minor deviations from normal manufacturing and distribution processes for any of our product candidates could result in reduced production yields, impact to key product quality attributes and other supply disruptions. Product defects can also occur unexpectedly. These deviations and disruptions could delay our programs. If we are not able to capably manage this complexity and variability, our ability to timely and successfully provide our products candidates to patients could be delayed. In addition, the complexities of utilizing a patient’s own cells as the starting material requires that we have suitable cells capable of yielding a viable cellular therapy product, which may not be possible for severely immune-compromised or heavily pre-treated patients.</w:t>
      </w:r>
    </w:p>
    <w:p>
      <w:pPr>
        <w:spacing w:after="0" w:line="81" w:lineRule="exact"/>
        <w:rPr>
          <w:sz w:val="20"/>
          <w:szCs w:val="20"/>
          <w:color w:val="auto"/>
        </w:rPr>
      </w:pPr>
    </w:p>
    <w:p>
      <w:pPr>
        <w:ind w:right="20" w:firstLine="636"/>
        <w:spacing w:after="0" w:line="249" w:lineRule="auto"/>
        <w:rPr>
          <w:sz w:val="20"/>
          <w:szCs w:val="20"/>
          <w:color w:val="auto"/>
        </w:rPr>
      </w:pPr>
      <w:r>
        <w:rPr>
          <w:rFonts w:ascii="Times New Roman" w:cs="Times New Roman" w:eastAsia="Times New Roman" w:hAnsi="Times New Roman"/>
          <w:sz w:val="18"/>
          <w:szCs w:val="18"/>
          <w:color w:val="auto"/>
        </w:rPr>
        <w:t>The process of successfully manufacturing products for clinical testing and commercialization may be particularly challenging, even if such products otherwise prove to be safe and effective. The manufacture of these product candidates involves complex processes. Some of these processes require specialized equipment and highly skilled and trained personnel. The process of manufacturing these product candidates will be susceptible to additional risks, given the need to maintain aseptic conditions throughout the manufacturing process. Contamination with microbes, viruses or other pathogens in either the donor material or materials utilized in the manufacturing process or ingress of microbiological material at any point in the process may result in contaminated, unusable product or necessitate the closing of a manufacturing facility for an extended period of time to allow us to investigate and remedy the contamination. These types of contaminations could result in delays in the manufacture of products, which could result in delays in the development of our product candidates. These contaminations could also increase the risk of adverse side effects.</w:t>
      </w:r>
    </w:p>
    <w:p>
      <w:pPr>
        <w:spacing w:after="0" w:line="84" w:lineRule="exact"/>
        <w:rPr>
          <w:sz w:val="20"/>
          <w:szCs w:val="20"/>
          <w:color w:val="auto"/>
        </w:rPr>
      </w:pPr>
    </w:p>
    <w:p>
      <w:pPr>
        <w:ind w:right="60" w:firstLine="636"/>
        <w:spacing w:after="0" w:line="250" w:lineRule="auto"/>
        <w:rPr>
          <w:sz w:val="20"/>
          <w:szCs w:val="20"/>
          <w:color w:val="auto"/>
        </w:rPr>
      </w:pPr>
      <w:r>
        <w:rPr>
          <w:rFonts w:ascii="Times New Roman" w:cs="Times New Roman" w:eastAsia="Times New Roman" w:hAnsi="Times New Roman"/>
          <w:sz w:val="18"/>
          <w:szCs w:val="18"/>
          <w:color w:val="auto"/>
        </w:rPr>
        <w:t>Any adverse developments affecting manufacturing operations for our product candidates may result in lot failures, inventory shortages, shipment delays, product withdrawals or recalls or other interruptions in supply that could delay the development of our product candidates. If we are unable to obtain sufficient supply of our product candidates, whether due to production shortages or other supply interruptions resulting from the continuing effects of the COVID-19 pandemic or otherwise, our clinical trials or regulatory approval may be delayed. We may also have to write off inventory, incur other charges and expenses for supply of product that fails to meet specifications, undertake costly remediation efforts or seek more costly manufacturing alternatives. In addition, parts of the supply chain may have long lead times or may come from a small number of suppliers. If we are not able to appropriately manage our supply chain, our ability to</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successfully produce our product candidates could be delayed or harmed. Inability to meet the demand for our product candidates could damage our reputation and the reputation of our products among physicians, healthcare payors, patients or the medical community that supports our product development efforts, including hospitals and outpatient clinics.</w:t>
      </w:r>
    </w:p>
    <w:p>
      <w:pPr>
        <w:spacing w:after="0" w:line="72" w:lineRule="exact"/>
        <w:rPr>
          <w:sz w:val="20"/>
          <w:szCs w:val="20"/>
          <w:color w:val="auto"/>
        </w:rPr>
      </w:pPr>
    </w:p>
    <w:p>
      <w:pPr>
        <w:ind w:right="100" w:firstLine="636"/>
        <w:spacing w:after="0" w:line="259" w:lineRule="auto"/>
        <w:rPr>
          <w:sz w:val="20"/>
          <w:szCs w:val="20"/>
          <w:color w:val="auto"/>
        </w:rPr>
      </w:pPr>
      <w:r>
        <w:rPr>
          <w:rFonts w:ascii="Times New Roman" w:cs="Times New Roman" w:eastAsia="Times New Roman" w:hAnsi="Times New Roman"/>
          <w:sz w:val="18"/>
          <w:szCs w:val="18"/>
          <w:color w:val="auto"/>
        </w:rPr>
        <w:t>Furthermore, the manufacturing facilities in which our product candidates will be made could be adversely affected by earthquakes and other natural disasters, equipment failures, labor shortages, power failures, health epidemics and numerous other factors. If any of these events were to occur and impact our manufacturing facilities, our business would be materially and adversely affected.</w:t>
      </w:r>
    </w:p>
    <w:p>
      <w:pPr>
        <w:spacing w:after="0" w:line="68"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our sole clinical or commercial manufacturing facility or our contract manufacturing organization is damaged or destroyed or production at these facilities is otherwise interrupted, our business would be negatively affected.</w:t>
      </w:r>
    </w:p>
    <w:p>
      <w:pPr>
        <w:spacing w:after="0" w:line="54" w:lineRule="exact"/>
        <w:rPr>
          <w:sz w:val="20"/>
          <w:szCs w:val="20"/>
          <w:color w:val="auto"/>
        </w:rPr>
      </w:pPr>
    </w:p>
    <w:p>
      <w:pPr>
        <w:ind w:right="140" w:firstLine="636"/>
        <w:spacing w:after="0" w:line="251" w:lineRule="auto"/>
        <w:rPr>
          <w:sz w:val="20"/>
          <w:szCs w:val="20"/>
          <w:color w:val="auto"/>
        </w:rPr>
      </w:pPr>
      <w:r>
        <w:rPr>
          <w:rFonts w:ascii="Times New Roman" w:cs="Times New Roman" w:eastAsia="Times New Roman" w:hAnsi="Times New Roman"/>
          <w:sz w:val="18"/>
          <w:szCs w:val="18"/>
          <w:color w:val="auto"/>
        </w:rPr>
        <w:t>If any manufacturing facility in our manufacturing network, or the equipment in these facilities, is either damaged or destroyed, we may not be able to quickly or inexpensively replace our manufacturing capacity, if we are able to replace it at all. In the event of a temporary or protracted loss of a facility or its equipment, we may not be able to transfer manufacturing to a third party in the time required to maintain supply. Even if we could transfer manufacturing to a third party, the shift would likely be expensive and time-consuming, particularly since the new facility would need to comply with the necessary regulatory requirements or may require regulatory approval before selling any products manufactured at that facility. Such an event could substantially delay our clinical trials or commercialization of our product candidates.</w:t>
      </w:r>
    </w:p>
    <w:p>
      <w:pPr>
        <w:spacing w:after="0" w:line="79" w:lineRule="exact"/>
        <w:rPr>
          <w:sz w:val="20"/>
          <w:szCs w:val="20"/>
          <w:color w:val="auto"/>
        </w:rPr>
      </w:pPr>
    </w:p>
    <w:p>
      <w:pPr>
        <w:ind w:right="20" w:firstLine="636"/>
        <w:spacing w:after="0" w:line="255" w:lineRule="auto"/>
        <w:rPr>
          <w:sz w:val="20"/>
          <w:szCs w:val="20"/>
          <w:color w:val="auto"/>
        </w:rPr>
      </w:pPr>
      <w:r>
        <w:rPr>
          <w:rFonts w:ascii="Times New Roman" w:cs="Times New Roman" w:eastAsia="Times New Roman" w:hAnsi="Times New Roman"/>
          <w:sz w:val="18"/>
          <w:szCs w:val="18"/>
          <w:color w:val="auto"/>
        </w:rPr>
        <w:t>Currently, we maintain insurance coverage against damage to our property and to cover business interruption and research and development restoration expenses. However, our insurance coverage may not reimburse us, or may not be sufficient to reimburse us, for any expenses or losses we may suffer. We may be unable to meet our requirements for our product candidates if there were a catastrophic event or failure of our current manufacturing facility or processes.</w:t>
      </w:r>
    </w:p>
    <w:p>
      <w:pPr>
        <w:spacing w:after="0" w:line="70"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or scale our own manufacturing, we may have to rely on third parties to manufacture our product candidates, which subjects us to risks and could delay or prevent our development and/or commercialization, if approved, of our product candidates.</w:t>
      </w:r>
    </w:p>
    <w:p>
      <w:pPr>
        <w:spacing w:after="0" w:line="54" w:lineRule="exact"/>
        <w:rPr>
          <w:sz w:val="20"/>
          <w:szCs w:val="20"/>
          <w:color w:val="auto"/>
        </w:rPr>
      </w:pPr>
    </w:p>
    <w:p>
      <w:pPr>
        <w:ind w:right="80" w:firstLine="636"/>
        <w:spacing w:after="0" w:line="251" w:lineRule="auto"/>
        <w:rPr>
          <w:sz w:val="20"/>
          <w:szCs w:val="20"/>
          <w:color w:val="auto"/>
        </w:rPr>
      </w:pPr>
      <w:r>
        <w:rPr>
          <w:rFonts w:ascii="Times New Roman" w:cs="Times New Roman" w:eastAsia="Times New Roman" w:hAnsi="Times New Roman"/>
          <w:sz w:val="18"/>
          <w:szCs w:val="18"/>
          <w:color w:val="auto"/>
        </w:rPr>
        <w:t>If we are unable to develop or scale our own manufacturing capabilities for our product candidates, we will be reliant on third parties to manufacture our product candidates. We may be unable to identify manufacturers for our product candidates or the materials required to develop the cellular therapy on acceptable terms or at all because the number of potential manufacturers is limited. Engaging a third-party manufacturer will require testing and regulatory interactions, and a new manufacturer would have to be educated in, or develop substantially equivalent processes for, production of our products after receipt of FDA questions, if any. Such potential third-party manufacturers may be unable to timely formulate and manufacture our product or produce the quantity and quality required to meet our clinical and commercial needs, if any.</w:t>
      </w:r>
    </w:p>
    <w:p>
      <w:pPr>
        <w:spacing w:after="0" w:line="79" w:lineRule="exact"/>
        <w:rPr>
          <w:sz w:val="20"/>
          <w:szCs w:val="20"/>
          <w:color w:val="auto"/>
        </w:rPr>
      </w:pPr>
    </w:p>
    <w:p>
      <w:pPr>
        <w:ind w:right="140" w:firstLine="636"/>
        <w:spacing w:after="0" w:line="248" w:lineRule="auto"/>
        <w:rPr>
          <w:sz w:val="20"/>
          <w:szCs w:val="20"/>
          <w:color w:val="auto"/>
        </w:rPr>
      </w:pPr>
      <w:r>
        <w:rPr>
          <w:rFonts w:ascii="Times New Roman" w:cs="Times New Roman" w:eastAsia="Times New Roman" w:hAnsi="Times New Roman"/>
          <w:sz w:val="18"/>
          <w:szCs w:val="18"/>
          <w:color w:val="auto"/>
        </w:rPr>
        <w:t>Furthermore, the facilities used by manufacturers are subject to ongoing periodic unannounced inspections by the FDA and corresponding state agencies to ensure strict compliance with government regulations and corresponding foreign standards, and we do not have control over third-party manufacturers’ compliance with cGMPs for the manufacture of our product candidates. If our contract manufacturers cannot successfully manufacture material that conforms to our specifications and the strict regulatory requirements of the FDA or others, we will not be able to obtain and/or maintain regulatory approval for our product candidates manufactured in these facilities. In addition, we have no control over the ability of our third-party manufacturers to maintain adequate control, quality assurance and qualified personnel required to meet our clinical and commercial needs, if any. If the FDA or a comparable foreign regulatory authority does not approve the manufacture of our product candidates at these facilities or if it withdraws any such approval in the future, we may need to find alternative manufacturing facilities, which would significantly impact our ability to develop, obtain regulatory approval for or market our product candidates, if approved. In addition, any failure to achieve and maintain compliance with these laws, regulations and standards could subject us to the risk that we may have to suspend the manufacturing of our product candidates or that any approvals we have obtained could be revoked, which would adversely affect our business and reputation.</w:t>
      </w:r>
    </w:p>
    <w:p>
      <w:pPr>
        <w:spacing w:after="0" w:line="85" w:lineRule="exact"/>
        <w:rPr>
          <w:sz w:val="20"/>
          <w:szCs w:val="20"/>
          <w:color w:val="auto"/>
        </w:rPr>
      </w:pPr>
    </w:p>
    <w:p>
      <w:pPr>
        <w:ind w:right="80" w:firstLine="636"/>
        <w:spacing w:after="0" w:line="255" w:lineRule="auto"/>
        <w:rPr>
          <w:sz w:val="20"/>
          <w:szCs w:val="20"/>
          <w:color w:val="auto"/>
        </w:rPr>
      </w:pPr>
      <w:r>
        <w:rPr>
          <w:rFonts w:ascii="Times New Roman" w:cs="Times New Roman" w:eastAsia="Times New Roman" w:hAnsi="Times New Roman"/>
          <w:sz w:val="18"/>
          <w:szCs w:val="18"/>
          <w:color w:val="auto"/>
        </w:rPr>
        <w:t>We may not own, or may have to share, the intellectual property rights to any improvements made by our third-party manufacturers in the manufacturing process for our products. Also, our third- party manufacturers could breach or terminate their agreement with us because of their own financial difficulties or business priorities, at a time that is costly or otherwise inconvenient for us. If we were unable to find adequate replacement or another acceptable solution in time, our clinical trials could be delayed or our commercial activities could be harmed.</w:t>
      </w:r>
    </w:p>
    <w:p>
      <w:pPr>
        <w:spacing w:after="0" w:line="74" w:lineRule="exact"/>
        <w:rPr>
          <w:sz w:val="20"/>
          <w:szCs w:val="20"/>
          <w:color w:val="auto"/>
        </w:rPr>
      </w:pPr>
    </w:p>
    <w:p>
      <w:pPr>
        <w:ind w:right="80" w:firstLine="636"/>
        <w:spacing w:after="0" w:line="259" w:lineRule="auto"/>
        <w:rPr>
          <w:sz w:val="20"/>
          <w:szCs w:val="20"/>
          <w:color w:val="auto"/>
        </w:rPr>
      </w:pPr>
      <w:r>
        <w:rPr>
          <w:rFonts w:ascii="Times New Roman" w:cs="Times New Roman" w:eastAsia="Times New Roman" w:hAnsi="Times New Roman"/>
          <w:sz w:val="18"/>
          <w:szCs w:val="18"/>
          <w:color w:val="auto"/>
        </w:rPr>
        <w:t>Furthermore, our third-party manufacturers would also be subject to the same risks we face in developing our own manufacturing capabilities, as described above. Each of these risks could delay our clinical trials, the approval, if any, of our product candidates by the FDA or the commercialization of our product candidates or result in higher costs or deprive us of potential product revenue.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Cell-based therapies rely on the availability of specialty raw materials, which may not be available to us on acceptable terms or at all.</w:t>
      </w:r>
    </w:p>
    <w:p>
      <w:pPr>
        <w:spacing w:after="0" w:line="115" w:lineRule="exact"/>
        <w:rPr>
          <w:sz w:val="20"/>
          <w:szCs w:val="20"/>
          <w:color w:val="auto"/>
        </w:rPr>
      </w:pPr>
    </w:p>
    <w:p>
      <w:pPr>
        <w:ind w:right="40" w:firstLine="636"/>
        <w:spacing w:after="0" w:line="248" w:lineRule="auto"/>
        <w:rPr>
          <w:sz w:val="20"/>
          <w:szCs w:val="20"/>
          <w:color w:val="auto"/>
        </w:rPr>
      </w:pPr>
      <w:r>
        <w:rPr>
          <w:rFonts w:ascii="Times New Roman" w:cs="Times New Roman" w:eastAsia="Times New Roman" w:hAnsi="Times New Roman"/>
          <w:sz w:val="18"/>
          <w:szCs w:val="18"/>
          <w:color w:val="auto"/>
        </w:rPr>
        <w:t>Our product candidates require many specialty raw materials. As a result, we may be required to outsource aspects of our manufacturing supply chain. Many of the specialty raw materials may be manufactured by small companies with limited resources and experience to support a commercial product, and the suppliers may not be able to deliver raw materials to our specifications. In such case, identifying and engaging an alternative supplier or manufacturer could result in delay, and we may not be able to find other acceptable suppliers or manufacturers on acceptable terms, or at all. Switching suppliers or manufacturers may involve substantial costs and is likely to result in a delay in our desired clinical and commercial timelines. If we change suppliers or manufacturers for commercial production, applicable regulatory agencies may require us to conduct additional studies or trials. If key suppliers or manufacturers are lost, or if the supply of the materials is diminished or discontinued, we may not be able to develop, manufacture and market our product candidates in a timely and competitive manner, or at all.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83" w:lineRule="exact"/>
        <w:rPr>
          <w:sz w:val="20"/>
          <w:szCs w:val="20"/>
          <w:color w:val="auto"/>
        </w:rPr>
      </w:pPr>
    </w:p>
    <w:p>
      <w:pPr>
        <w:ind w:firstLine="636"/>
        <w:spacing w:after="0" w:line="249" w:lineRule="auto"/>
        <w:rPr>
          <w:sz w:val="20"/>
          <w:szCs w:val="20"/>
          <w:color w:val="auto"/>
        </w:rPr>
      </w:pPr>
      <w:r>
        <w:rPr>
          <w:rFonts w:ascii="Times New Roman" w:cs="Times New Roman" w:eastAsia="Times New Roman" w:hAnsi="Times New Roman"/>
          <w:sz w:val="18"/>
          <w:szCs w:val="18"/>
          <w:color w:val="auto"/>
        </w:rPr>
        <w:t>In addition, those suppliers may not have the capacity to support commercial products manufactured by biopharmaceutical firms. The suppliers may be ill-equipped to support our needs, especially in non-routine circumstances like an FDA inspection, or medical crises such as widespread contamination. We may not be able to contract with these companies on acceptable terms or at all. Accordingly, we may experience delays in receiving key raw materials to support clinical or commercial manufacturing. In addition, some raw materials are currently available from a single supplier, or a small number of suppliers. We cannot be sure that these suppliers will remain in business, or that they will not be purchased by one of our competitors or another company that is not interested in continuing to produce these materials for our intended purpose. These factors could cause the delay of studies or trials, regulatory submissions, required approvals or commercialization of product candidates that we develop, cause us to incur higher costs and prevent us from commercializing our product candidates successfully.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0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intend to rely on third parties to conduct, supervise and monitor a significant portion of our research and nonclinical studies and clinical trials for our product candidates, and, if those third parties do not successfully carry out their contractual duties, comply with regulatory requirements or otherwise perform satisfactorily, we may not be able to obtain regulatory approval or commercialize product candidates, or such approval or commercialization may be delayed, and our business may be substantially harmed.</w:t>
      </w:r>
    </w:p>
    <w:p>
      <w:pPr>
        <w:spacing w:after="0" w:line="75" w:lineRule="exact"/>
        <w:rPr>
          <w:sz w:val="20"/>
          <w:szCs w:val="20"/>
          <w:color w:val="auto"/>
        </w:rPr>
      </w:pPr>
    </w:p>
    <w:p>
      <w:pPr>
        <w:ind w:right="180" w:firstLine="636"/>
        <w:spacing w:after="0" w:line="249" w:lineRule="auto"/>
        <w:rPr>
          <w:sz w:val="20"/>
          <w:szCs w:val="20"/>
          <w:color w:val="auto"/>
        </w:rPr>
      </w:pPr>
      <w:r>
        <w:rPr>
          <w:rFonts w:ascii="Times New Roman" w:cs="Times New Roman" w:eastAsia="Times New Roman" w:hAnsi="Times New Roman"/>
          <w:sz w:val="18"/>
          <w:szCs w:val="18"/>
          <w:color w:val="auto"/>
        </w:rPr>
        <w:t>We intend to rely on medical institutions, clinical investigators, contract laboratories and other third parties, such as CROs, to conduct GCP-compliant clinical trials on our product candidates properly and on time. For example, we are relying on a CRO to conduct a significant part of our LYL797 Phase 1 clinical trial. Negotiating budgets and contracts with CROs and study sites may result in delays to our development timelines and increased costs. 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 Further, the performance of our CROs and other third parties conducting our trials may also be interrupted or subject to delay as a result of the continuing effects of the COVID-19 pandemic, including due to staff shortages at the CRO, clinical site or other vendor or reallocation of resources due to the pandemic.</w:t>
      </w:r>
    </w:p>
    <w:p>
      <w:pPr>
        <w:spacing w:after="0" w:line="81" w:lineRule="exact"/>
        <w:rPr>
          <w:sz w:val="20"/>
          <w:szCs w:val="20"/>
          <w:color w:val="auto"/>
        </w:rPr>
      </w:pPr>
    </w:p>
    <w:p>
      <w:pPr>
        <w:ind w:firstLine="636"/>
        <w:spacing w:after="0" w:line="250" w:lineRule="auto"/>
        <w:rPr>
          <w:sz w:val="20"/>
          <w:szCs w:val="20"/>
          <w:color w:val="auto"/>
        </w:rPr>
      </w:pPr>
      <w:r>
        <w:rPr>
          <w:rFonts w:ascii="Times New Roman" w:cs="Times New Roman" w:eastAsia="Times New Roman" w:hAnsi="Times New Roman"/>
          <w:sz w:val="18"/>
          <w:szCs w:val="18"/>
          <w:color w:val="auto"/>
        </w:rPr>
        <w:t>In addition, any third parties conducting our clinical trials or nonclinical studies will not be our employees, and, except for remedies available to us under our agreements with such third parties, we cannot control whether or not they devote sufficient time and resources to our programs. If these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our clinical trials or nonclinical studies may be extended, delayed or terminated and we may not be able to obtain regulatory approval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firstLine="636"/>
        <w:spacing w:after="0" w:line="264" w:lineRule="auto"/>
        <w:rPr>
          <w:sz w:val="20"/>
          <w:szCs w:val="20"/>
          <w:color w:val="auto"/>
        </w:rPr>
      </w:pPr>
      <w:r>
        <w:rPr>
          <w:rFonts w:ascii="Times New Roman" w:cs="Times New Roman" w:eastAsia="Times New Roman" w:hAnsi="Times New Roman"/>
          <w:sz w:val="17"/>
          <w:szCs w:val="17"/>
          <w:color w:val="auto"/>
        </w:rPr>
        <w:t>We rely on these parties for execution of our nonclinical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are conducted in accordance with the general investigational plan and protocols for the trial. Moreover, the FDA requires us to comply with standards, commonly referred to as GCPs, for conducting, recording and reporting the results of clinical trials to assure that data and reported results are credible and accurate and that the rights, integrity and confidentiality of trial participants are protected. If we or any of our CROs or other third parties, including trial sites,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conditions. Our failure to comply with these regulations may require us to add patients to or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73" w:lineRule="exact"/>
        <w:rPr>
          <w:sz w:val="20"/>
          <w:szCs w:val="20"/>
          <w:color w:val="auto"/>
        </w:rPr>
      </w:pPr>
    </w:p>
    <w:p>
      <w:pPr>
        <w:jc w:val="both"/>
        <w:ind w:right="280" w:firstLine="636"/>
        <w:spacing w:after="0" w:line="259" w:lineRule="auto"/>
        <w:rPr>
          <w:sz w:val="20"/>
          <w:szCs w:val="20"/>
          <w:color w:val="auto"/>
        </w:rPr>
      </w:pPr>
      <w:r>
        <w:rPr>
          <w:rFonts w:ascii="Times New Roman" w:cs="Times New Roman" w:eastAsia="Times New Roman" w:hAnsi="Times New Roman"/>
          <w:sz w:val="18"/>
          <w:szCs w:val="18"/>
          <w:color w:val="auto"/>
        </w:rPr>
        <w:t>If any of our relationships with the third parties that we currently use or that we may use in the future terminates, we may not be able to enter into arrangements with alternative third parties to do so on commercially reasonable terms. As a result, delays occur, which can materially impact our ability to meet desired research and clinical development timelines.</w:t>
      </w:r>
    </w:p>
    <w:p>
      <w:pPr>
        <w:spacing w:after="0" w:line="68"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do and will continue to or intend to rely on outside scientists and clinical trial investigators and their third-party research institutions for research and development and early clinical testing of our product candidates. These scientists, investigators and institutions may have other commitments or conflicts of interest, which could limit our access to their expertise and harm our ability to leverage our technology platforms.</w:t>
      </w:r>
    </w:p>
    <w:p>
      <w:pPr>
        <w:spacing w:after="0" w:line="68" w:lineRule="exact"/>
        <w:rPr>
          <w:sz w:val="20"/>
          <w:szCs w:val="20"/>
          <w:color w:val="auto"/>
        </w:rPr>
      </w:pPr>
    </w:p>
    <w:p>
      <w:pPr>
        <w:ind w:firstLine="636"/>
        <w:spacing w:after="0" w:line="255" w:lineRule="auto"/>
        <w:rPr>
          <w:sz w:val="20"/>
          <w:szCs w:val="20"/>
          <w:color w:val="auto"/>
        </w:rPr>
      </w:pPr>
      <w:r>
        <w:rPr>
          <w:rFonts w:ascii="Times New Roman" w:cs="Times New Roman" w:eastAsia="Times New Roman" w:hAnsi="Times New Roman"/>
          <w:sz w:val="18"/>
          <w:szCs w:val="18"/>
          <w:color w:val="auto"/>
        </w:rPr>
        <w:t>We rely on our third-party research institution collaborators for some research capabilities. However, the research we are funding constitutes only a small portion of the overall research of each research institution. Other research being conducted by these institutions may at times receive higher priority than research on the programs we are funding. We typically have less control of the research, clinical trial protocols and patient enrollment than we might with activity led by our employees.</w:t>
      </w:r>
    </w:p>
    <w:p>
      <w:pPr>
        <w:spacing w:after="0" w:line="74" w:lineRule="exact"/>
        <w:rPr>
          <w:sz w:val="20"/>
          <w:szCs w:val="20"/>
          <w:color w:val="auto"/>
        </w:rPr>
      </w:pPr>
    </w:p>
    <w:p>
      <w:pPr>
        <w:ind w:right="180" w:firstLine="636"/>
        <w:spacing w:after="0" w:line="249" w:lineRule="auto"/>
        <w:rPr>
          <w:sz w:val="20"/>
          <w:szCs w:val="20"/>
          <w:color w:val="auto"/>
        </w:rPr>
      </w:pPr>
      <w:r>
        <w:rPr>
          <w:rFonts w:ascii="Times New Roman" w:cs="Times New Roman" w:eastAsia="Times New Roman" w:hAnsi="Times New Roman"/>
          <w:sz w:val="18"/>
          <w:szCs w:val="18"/>
          <w:color w:val="auto"/>
        </w:rPr>
        <w:t>The outside scientists and clinical trial investigators who conduct the research and development upon which portions of our product candidate pipeline depends are not our employees; rather, they serve as either independent contractors or the primary investigators under research collaboration agreements that we have with their sponsoring academic or research institution. Such scientists and collaborators may have other commitments that would limit their availability to us. Although our scientific advisors generally agree not to do competing work, if an actual or potential conflict of interest between their work for us and their work for another entity arises, we may lose their services. These factors could adversely affect the timing of the clinical trials, the timing of receipt and reporting of clinical data, the timing of our IND submissions and our ability to conduct our current and planned clinical trials. It is also possible that some of our valuable proprietary knowledge may become publicly known through these scientific advisors if they breach their confidentiality agreements with us, which would cause competitive harm to, and have an adverse effect on, our business.</w:t>
      </w:r>
    </w:p>
    <w:p>
      <w:pPr>
        <w:spacing w:after="0" w:line="80"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and we may in the future, form or seek collaborations or strategic alliances or enter into additional licensing arrangements in the future, and we may not realize the benefits of such alliances or licensing arrangements.</w:t>
      </w:r>
    </w:p>
    <w:p>
      <w:pPr>
        <w:spacing w:after="0" w:line="54" w:lineRule="exact"/>
        <w:rPr>
          <w:sz w:val="20"/>
          <w:szCs w:val="20"/>
          <w:color w:val="auto"/>
        </w:rPr>
      </w:pPr>
    </w:p>
    <w:p>
      <w:pPr>
        <w:ind w:right="460" w:firstLine="636"/>
        <w:spacing w:after="0" w:line="274" w:lineRule="auto"/>
        <w:rPr>
          <w:sz w:val="20"/>
          <w:szCs w:val="20"/>
          <w:color w:val="auto"/>
        </w:rPr>
      </w:pPr>
      <w:r>
        <w:rPr>
          <w:rFonts w:ascii="Times New Roman" w:cs="Times New Roman" w:eastAsia="Times New Roman" w:hAnsi="Times New Roman"/>
          <w:sz w:val="18"/>
          <w:szCs w:val="18"/>
          <w:color w:val="auto"/>
        </w:rPr>
        <w:t>We have entered into research and development collaborations in the past, and may in the future, enter into additional license and collaboration arrangements. Any collaboration arrangement that we enter into is subject to numerous risks, which may include the following:</w:t>
      </w:r>
    </w:p>
    <w:p>
      <w:pPr>
        <w:spacing w:after="0" w:line="57" w:lineRule="exact"/>
        <w:rPr>
          <w:sz w:val="20"/>
          <w:szCs w:val="20"/>
          <w:color w:val="auto"/>
        </w:rPr>
      </w:pPr>
    </w:p>
    <w:p>
      <w:pPr>
        <w:ind w:left="640" w:right="240" w:hanging="316"/>
        <w:spacing w:after="0" w:line="274"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collaborator has significant discretion in determining the efforts and resources that they will apply to a program or product candidate under the collaboration;</w:t>
      </w:r>
    </w:p>
    <w:p>
      <w:pPr>
        <w:spacing w:after="0" w:line="57" w:lineRule="exact"/>
        <w:rPr>
          <w:rFonts w:ascii="Times New Roman" w:cs="Times New Roman" w:eastAsia="Times New Roman" w:hAnsi="Times New Roman"/>
          <w:sz w:val="18"/>
          <w:szCs w:val="18"/>
          <w:color w:val="auto"/>
        </w:rPr>
      </w:pPr>
    </w:p>
    <w:p>
      <w:pPr>
        <w:jc w:val="both"/>
        <w:ind w:left="640" w:right="40" w:hanging="316"/>
        <w:spacing w:after="0" w:line="259"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collaborator may not pursue development and commercialization of our product candidates or may elect not to continue or renew development or commercialization programs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71" w:lineRule="exact"/>
        <w:rPr>
          <w:rFonts w:ascii="Times New Roman" w:cs="Times New Roman" w:eastAsia="Times New Roman" w:hAnsi="Times New Roman"/>
          <w:sz w:val="18"/>
          <w:szCs w:val="18"/>
          <w:color w:val="auto"/>
        </w:rPr>
      </w:pPr>
    </w:p>
    <w:p>
      <w:pPr>
        <w:ind w:left="640" w:right="40" w:hanging="316"/>
        <w:spacing w:after="0" w:line="259"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collaborator may delay or halt clinical trials, provide insufficient funding for a clinical trial, preferentially enroll patients on a portion of a clinical trial not testing our product candidates, stop a clinical trial, abandon a product candidate, repeat or conduct new clinical trials, or require a new formulation of a product candidate for clinical testing;</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40" w:right="10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collaborator could independently develop, or develop with third parties, products that compete directly or indirectly with our products or product candidates;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collaborator may not commit sufficient resources to marketing and distribution of our products;</w:t>
      </w:r>
    </w:p>
    <w:p>
      <w:pPr>
        <w:spacing w:after="0" w:line="11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collaborator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1" w:lineRule="exact"/>
        <w:rPr>
          <w:rFonts w:ascii="Times New Roman" w:cs="Times New Roman" w:eastAsia="Times New Roman" w:hAnsi="Times New Roman"/>
          <w:sz w:val="18"/>
          <w:szCs w:val="18"/>
          <w:color w:val="auto"/>
        </w:rPr>
      </w:pPr>
    </w:p>
    <w:p>
      <w:pPr>
        <w:ind w:left="640" w:right="42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the collaborator that cause the delay or termination of the research, development or commercialization of our product candidates, or that result in costly litigation or arbitration that diverts management attention and resources;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collaboration may be terminated and, if terminated, may result in a need for additional capital to pursue further development or commercialization of the applicable product candidates; and</w:t>
      </w:r>
    </w:p>
    <w:p>
      <w:pPr>
        <w:spacing w:after="0" w:line="57" w:lineRule="exact"/>
        <w:rPr>
          <w:rFonts w:ascii="Times New Roman" w:cs="Times New Roman" w:eastAsia="Times New Roman" w:hAnsi="Times New Roman"/>
          <w:sz w:val="18"/>
          <w:szCs w:val="18"/>
          <w:color w:val="auto"/>
        </w:rPr>
      </w:pPr>
    </w:p>
    <w:p>
      <w:pPr>
        <w:ind w:left="640" w:right="1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collaborator may own or co-own intellectual property covering our product candidates that results from our collaborating with them, and in such cases, we would not have the exclusive right to commercialize such intellectual property.</w:t>
      </w:r>
    </w:p>
    <w:p>
      <w:pPr>
        <w:spacing w:after="0" w:line="57" w:lineRule="exact"/>
        <w:rPr>
          <w:sz w:val="20"/>
          <w:szCs w:val="20"/>
          <w:color w:val="auto"/>
        </w:rPr>
      </w:pPr>
    </w:p>
    <w:p>
      <w:pPr>
        <w:ind w:right="300" w:firstLine="636"/>
        <w:spacing w:after="0" w:line="274" w:lineRule="auto"/>
        <w:rPr>
          <w:sz w:val="20"/>
          <w:szCs w:val="20"/>
          <w:color w:val="auto"/>
        </w:rPr>
      </w:pPr>
      <w:r>
        <w:rPr>
          <w:rFonts w:ascii="Times New Roman" w:cs="Times New Roman" w:eastAsia="Times New Roman" w:hAnsi="Times New Roman"/>
          <w:sz w:val="18"/>
          <w:szCs w:val="18"/>
          <w:color w:val="auto"/>
        </w:rPr>
        <w:t>In particular, failure by any collaborator to meet its obligations under our collaboration agreements or to apply sufficient efforts at developing and commercializing collaboration products may adversely affect our business, financial condition and our results of operations.</w:t>
      </w:r>
    </w:p>
    <w:p>
      <w:pPr>
        <w:spacing w:after="0" w:line="57" w:lineRule="exact"/>
        <w:rPr>
          <w:sz w:val="20"/>
          <w:szCs w:val="20"/>
          <w:color w:val="auto"/>
        </w:rPr>
      </w:pPr>
    </w:p>
    <w:p>
      <w:pPr>
        <w:ind w:right="80" w:firstLine="636"/>
        <w:spacing w:after="0" w:line="282" w:lineRule="auto"/>
        <w:rPr>
          <w:sz w:val="20"/>
          <w:szCs w:val="20"/>
          <w:color w:val="auto"/>
        </w:rPr>
      </w:pPr>
      <w:r>
        <w:rPr>
          <w:rFonts w:ascii="Times New Roman" w:cs="Times New Roman" w:eastAsia="Times New Roman" w:hAnsi="Times New Roman"/>
          <w:sz w:val="17"/>
          <w:szCs w:val="17"/>
          <w:color w:val="auto"/>
        </w:rPr>
        <w:t>For example, we were previously party to a research and development collaboration with GSK for our NY-ESO-1 program and other potential product opportunities and, effective December 2022, GSK terminated the agreement and discontinued its development of product candidates targeting NY-ESO-1, including the second generation product candidates that incorporated our genetic and epigenetic reprogramming technologies (LYL132 and LYL331).</w:t>
      </w:r>
    </w:p>
    <w:p>
      <w:pPr>
        <w:spacing w:after="0" w:line="53" w:lineRule="exact"/>
        <w:rPr>
          <w:sz w:val="20"/>
          <w:szCs w:val="20"/>
          <w:color w:val="auto"/>
        </w:rPr>
      </w:pPr>
    </w:p>
    <w:p>
      <w:pPr>
        <w:ind w:right="100" w:firstLine="636"/>
        <w:spacing w:after="0" w:line="251" w:lineRule="auto"/>
        <w:rPr>
          <w:sz w:val="20"/>
          <w:szCs w:val="20"/>
          <w:color w:val="auto"/>
        </w:rPr>
      </w:pPr>
      <w:r>
        <w:rPr>
          <w:rFonts w:ascii="Times New Roman" w:cs="Times New Roman" w:eastAsia="Times New Roman" w:hAnsi="Times New Roman"/>
          <w:sz w:val="18"/>
          <w:szCs w:val="18"/>
          <w:color w:val="auto"/>
        </w:rPr>
        <w:t>We may form or seek further strategic alliances, create joint ventures or collaborations, or enter into additional licensing arrangements with third parties that we believe will complement or augment our development and commercialization efforts with respect to our product candidates, our research and any future product candidates that we may pursue. Such alliances will be subject to many of the risks set forth above. Moreover,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w:t>
      </w:r>
    </w:p>
    <w:p>
      <w:pPr>
        <w:spacing w:after="0" w:line="79" w:lineRule="exact"/>
        <w:rPr>
          <w:sz w:val="20"/>
          <w:szCs w:val="20"/>
          <w:color w:val="auto"/>
        </w:rPr>
      </w:pPr>
    </w:p>
    <w:p>
      <w:pPr>
        <w:ind w:right="140" w:firstLine="636"/>
        <w:spacing w:after="0" w:line="255" w:lineRule="auto"/>
        <w:rPr>
          <w:sz w:val="20"/>
          <w:szCs w:val="20"/>
          <w:color w:val="auto"/>
        </w:rPr>
      </w:pPr>
      <w:r>
        <w:rPr>
          <w:rFonts w:ascii="Times New Roman" w:cs="Times New Roman" w:eastAsia="Times New Roman" w:hAnsi="Times New Roman"/>
          <w:sz w:val="18"/>
          <w:szCs w:val="18"/>
          <w:color w:val="auto"/>
        </w:rPr>
        <w:t>As a result of these risks, we may not be able to realize the benefit of our existing collaboration or any future collaborations or licensing agreements we may enter into.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benefits of potential future collaborations, licenses, product acquisitions or other strategic transactions.</w:t>
      </w:r>
    </w:p>
    <w:p>
      <w:pPr>
        <w:spacing w:after="0" w:line="115" w:lineRule="exact"/>
        <w:rPr>
          <w:sz w:val="20"/>
          <w:szCs w:val="20"/>
          <w:color w:val="auto"/>
        </w:rPr>
      </w:pPr>
    </w:p>
    <w:p>
      <w:pPr>
        <w:ind w:firstLine="636"/>
        <w:spacing w:after="0" w:line="247" w:lineRule="auto"/>
        <w:rPr>
          <w:sz w:val="20"/>
          <w:szCs w:val="20"/>
          <w:color w:val="auto"/>
        </w:rPr>
      </w:pPr>
      <w:r>
        <w:rPr>
          <w:rFonts w:ascii="Times New Roman" w:cs="Times New Roman" w:eastAsia="Times New Roman" w:hAnsi="Times New Roman"/>
          <w:sz w:val="18"/>
          <w:szCs w:val="18"/>
          <w:color w:val="auto"/>
        </w:rPr>
        <w:t xml:space="preserve">We have entered into, and may desire to enter into in the future, collaborations, licenses or other strategic transactions for the acquisition of products or business opportunities, in each case where we believe such arrangement will complement or augment our existing business. These relationships or transactions, or those like them, may require us to incur nonrecurring and other charges, increase our near- and long-term expenditures, issue securities that dilute our existing stockholders, reduce the potential profitability of the products that are the subject of the relationship or disrupt our management and business. For example, we entered into a collaboration agreement and stock purchase agreement with PACT in June 2020 and, in February 2021, we filed a demand for arbitration seeking to, among other things, rescind the agreements with PACT and recover the consideration paid thereunder. In October 2022, we entered into a settlement agreement with PACT to resolve the outstanding legal dispute. See Part I, Item 3,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of this Annual Report on Form 10-K for additional information regarding the PACT arbitration and settlement agreement. In addition, we face significant competition in seeking appropriate strategic alliances and transactions and the negotiation process is time-consuming and complex, and there can be no assurance that we can enter into any of these transactions even if we desire to do so. Moreover, we may not be successful in our efforts to establish a strategic alliance or other alternative arrangements for any future product candidates and programs because our research and development pipeline may be insufficient, our product candidates or programs may be deemed to be at too early a stage of development for collaborative effort and third parties may not view our product candidates and programs as having the requisite potential to demonstrate a positive benefit/risk profile. Any delays in entering into new strategic alliance agreements related to our product candidates could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delay the development and commercialization of our product candidates and reduce their competitiveness even if they reach the market.</w:t>
      </w:r>
    </w:p>
    <w:p>
      <w:pPr>
        <w:spacing w:after="0" w:line="111" w:lineRule="exact"/>
        <w:rPr>
          <w:sz w:val="20"/>
          <w:szCs w:val="20"/>
          <w:color w:val="auto"/>
        </w:rPr>
      </w:pPr>
    </w:p>
    <w:p>
      <w:pPr>
        <w:ind w:right="80" w:firstLine="636"/>
        <w:spacing w:after="0" w:line="252" w:lineRule="auto"/>
        <w:rPr>
          <w:sz w:val="20"/>
          <w:szCs w:val="20"/>
          <w:color w:val="auto"/>
        </w:rPr>
      </w:pPr>
      <w:r>
        <w:rPr>
          <w:rFonts w:ascii="Times New Roman" w:cs="Times New Roman" w:eastAsia="Times New Roman" w:hAnsi="Times New Roman"/>
          <w:sz w:val="18"/>
          <w:szCs w:val="18"/>
          <w:color w:val="auto"/>
        </w:rPr>
        <w:t>If we license products or acquire businesses, we may not be able to realize the benefit of these transactions if we are unable to successfully integrate them with our existing operations and company culture. There are other risks and uncertainties involved in these transactions, including unanticipated liabilities related to acquired intellectual property rights, products or companies and disruption in our relationship with collaborators or suppliers as a result of such a transaction. We cannot be certain that, following an acquisition or license, we will achieve the financial or strategic results that would justify the transaction.</w:t>
      </w:r>
    </w:p>
    <w:p>
      <w:pPr>
        <w:spacing w:after="0" w:line="75"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the enrollment and retention of patients in our current and planned clinical trials for our product candidates. If we experience delays or difficulties enrolling or retaining patients in our clinical trials, our research and development efforts and business, financial condition, and results of operations could be materially adversely affected.</w:t>
      </w:r>
    </w:p>
    <w:p>
      <w:pPr>
        <w:spacing w:after="0" w:line="68" w:lineRule="exact"/>
        <w:rPr>
          <w:sz w:val="20"/>
          <w:szCs w:val="20"/>
          <w:color w:val="auto"/>
        </w:rPr>
      </w:pPr>
    </w:p>
    <w:p>
      <w:pPr>
        <w:ind w:right="60" w:firstLine="636"/>
        <w:spacing w:after="0" w:line="252" w:lineRule="auto"/>
        <w:rPr>
          <w:sz w:val="20"/>
          <w:szCs w:val="20"/>
          <w:color w:val="auto"/>
        </w:rPr>
      </w:pPr>
      <w:r>
        <w:rPr>
          <w:rFonts w:ascii="Times New Roman" w:cs="Times New Roman" w:eastAsia="Times New Roman" w:hAnsi="Times New Roman"/>
          <w:sz w:val="18"/>
          <w:szCs w:val="18"/>
          <w:color w:val="auto"/>
        </w:rPr>
        <w:t>Successful and timely completion of clinical trials require that we enroll and retain a sufficient number of patient candidates. Any clinical trials we conduct may be subject to delays for a variety of reasons, including as a result of patient enrollment taking longer than anticipated, manufacturing failures resulting in patients being unable to be treated, patient withdrawal or adverse events. These types of developments could cause us to delay the trial or halt further development. For example, enrollment for the Phase 1 trial of LYL797 has been slower than anticipated, and we now anticipate the presentation of our initial LYL797 clinical data to occur in the first half of 2024.</w:t>
      </w:r>
    </w:p>
    <w:p>
      <w:pPr>
        <w:spacing w:after="0" w:line="79" w:lineRule="exact"/>
        <w:rPr>
          <w:sz w:val="20"/>
          <w:szCs w:val="20"/>
          <w:color w:val="auto"/>
        </w:rPr>
      </w:pPr>
    </w:p>
    <w:p>
      <w:pPr>
        <w:ind w:firstLine="636"/>
        <w:spacing w:after="0" w:line="267" w:lineRule="auto"/>
        <w:rPr>
          <w:sz w:val="20"/>
          <w:szCs w:val="20"/>
          <w:color w:val="auto"/>
        </w:rPr>
      </w:pPr>
      <w:r>
        <w:rPr>
          <w:rFonts w:ascii="Times New Roman" w:cs="Times New Roman" w:eastAsia="Times New Roman" w:hAnsi="Times New Roman"/>
          <w:sz w:val="17"/>
          <w:szCs w:val="17"/>
          <w:color w:val="auto"/>
        </w:rPr>
        <w:t>Our clinical trials compete with other clinical trials that are in the same therapeutic areas as our product candidates, and this competition reduces the number and types of patients available to us, as some patients who might have opted to enroll in our trials may instead opt to enroll in a trial being conducted by one of our competitors. Moreover, enrolling patients in clinical trials for diseases in which there is an approved standard of care is challenging, as patients will first receive the applicable standard of care. Many patients who respond positively to the standard of care do not enroll in clinical trials. This may limit the number of eligible patients able to enroll in our clinical trials who have the potential to benefit from our product candidates and could extend development timelines or increase costs for these programs. Patients who fail to respond positively to the standard of care treatment will be eligible for clinical trials of unapproved drug candidates. However, these prior treatment regimens may render our therapies less effective in clinical trials.</w:t>
      </w:r>
    </w:p>
    <w:p>
      <w:pPr>
        <w:spacing w:after="0" w:line="68" w:lineRule="exact"/>
        <w:rPr>
          <w:sz w:val="20"/>
          <w:szCs w:val="20"/>
          <w:color w:val="auto"/>
        </w:rPr>
      </w:pPr>
    </w:p>
    <w:p>
      <w:pPr>
        <w:ind w:right="80" w:firstLine="636"/>
        <w:spacing w:after="0" w:line="304" w:lineRule="auto"/>
        <w:rPr>
          <w:sz w:val="20"/>
          <w:szCs w:val="20"/>
          <w:color w:val="auto"/>
        </w:rPr>
      </w:pPr>
      <w:r>
        <w:rPr>
          <w:rFonts w:ascii="Times New Roman" w:cs="Times New Roman" w:eastAsia="Times New Roman" w:hAnsi="Times New Roman"/>
          <w:sz w:val="17"/>
          <w:szCs w:val="17"/>
          <w:color w:val="auto"/>
        </w:rPr>
        <w:t>Because the number of qualified clinical investigators and clinical trial sites is limited, we expect to conduct some of our clinical trials at the same clinical trial sites that some of our competitors use, which will reduce the number of patients who are available for our clinical trials at such clinical trial sites.</w:t>
      </w:r>
    </w:p>
    <w:p>
      <w:pPr>
        <w:spacing w:after="0" w:line="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Patient enrollment depends on many factors, including:</w:t>
      </w:r>
    </w:p>
    <w:p>
      <w:pPr>
        <w:spacing w:after="0" w:line="111" w:lineRule="exact"/>
        <w:rPr>
          <w:sz w:val="20"/>
          <w:szCs w:val="20"/>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the trial;</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sites;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protocol;</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patient consents;</w:t>
      </w:r>
    </w:p>
    <w:p>
      <w:pPr>
        <w:spacing w:after="0" w:line="111"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evaluation, including any perceived risks associated with genetically modified product candidates;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trial investigators with the appropriate competencies and experience;</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the administration of our product candidates or trial completion;</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clinical trials;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such patients during the COVID-19 pandemic;</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new drugs approved for the indication the clinical trial is investigating;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drug being studied in relation to other available therapies.</w:t>
      </w:r>
    </w:p>
    <w:p>
      <w:pPr>
        <w:spacing w:after="0" w:line="111" w:lineRule="exact"/>
        <w:rPr>
          <w:sz w:val="20"/>
          <w:szCs w:val="20"/>
          <w:color w:val="auto"/>
        </w:rPr>
      </w:pPr>
    </w:p>
    <w:p>
      <w:pPr>
        <w:ind w:right="80" w:firstLine="636"/>
        <w:spacing w:after="0" w:line="274" w:lineRule="auto"/>
        <w:rPr>
          <w:sz w:val="20"/>
          <w:szCs w:val="20"/>
          <w:color w:val="auto"/>
        </w:rPr>
      </w:pPr>
      <w:r>
        <w:rPr>
          <w:rFonts w:ascii="Times New Roman" w:cs="Times New Roman" w:eastAsia="Times New Roman" w:hAnsi="Times New Roman"/>
          <w:sz w:val="18"/>
          <w:szCs w:val="18"/>
          <w:color w:val="auto"/>
        </w:rPr>
        <w:t>These factors may make it difficult for us to enroll enough patients to complete our clinical trials in a timely and cost-effective manner. Delays in the completion of any clinical trial of our product candidates will increase our costs, slow</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color w:val="auto"/>
        </w:rPr>
        <w:t>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substantial competition, which may result in others discovering, developing or commercializing products before or more successfully than we do.</w:t>
      </w:r>
    </w:p>
    <w:p>
      <w:pPr>
        <w:spacing w:after="0" w:line="127" w:lineRule="exact"/>
        <w:rPr>
          <w:sz w:val="20"/>
          <w:szCs w:val="20"/>
          <w:color w:val="auto"/>
        </w:rPr>
      </w:pPr>
    </w:p>
    <w:p>
      <w:pPr>
        <w:ind w:right="120" w:firstLine="636"/>
        <w:spacing w:after="0" w:line="250" w:lineRule="auto"/>
        <w:rPr>
          <w:sz w:val="20"/>
          <w:szCs w:val="20"/>
          <w:color w:val="auto"/>
        </w:rPr>
      </w:pPr>
      <w:r>
        <w:rPr>
          <w:rFonts w:ascii="Times New Roman" w:cs="Times New Roman" w:eastAsia="Times New Roman" w:hAnsi="Times New Roman"/>
          <w:sz w:val="18"/>
          <w:szCs w:val="18"/>
          <w:color w:val="auto"/>
        </w:rPr>
        <w:t>We face competition from numerous pharmaceutical and biotechnology enterprises, as well as from academic institutions, government agencies and private and public research institutions. Our ability to enroll clinical trials or our commercial opportunities will be reduced or eliminated if our competitors develop and commercialize products that are safer, more effective, have fewer side effects or are less expensive than any products that we may develop. Additionally, our commercial opportunities will be reduced or eliminated if novel upstream products or changes in treatment protocols reduce the overall incidence or prevalence of our current or future target diseases. Competition could result in reduced sales and pricing pressure on our product candidates, if approved by applicable regulatory authorities. In addition, significant delays in the development of our product candidates could allow our competitors to bring products to market before us and impair any ability to commercialize our product candidates.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 and Legal Compliance</w:t>
      </w:r>
    </w:p>
    <w:p>
      <w:pPr>
        <w:spacing w:after="0" w:line="109" w:lineRule="exact"/>
        <w:rPr>
          <w:sz w:val="20"/>
          <w:szCs w:val="20"/>
          <w:color w:val="auto"/>
        </w:rPr>
      </w:pPr>
    </w:p>
    <w:p>
      <w:pPr>
        <w:ind w:right="6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just beginning the clinical development of our product candidates, and our future success is dependent on the successful development and regulatory approval of our product candidates.</w:t>
      </w:r>
    </w:p>
    <w:p>
      <w:pPr>
        <w:spacing w:after="0" w:line="54" w:lineRule="exact"/>
        <w:rPr>
          <w:sz w:val="20"/>
          <w:szCs w:val="20"/>
          <w:color w:val="auto"/>
        </w:rPr>
      </w:pPr>
    </w:p>
    <w:p>
      <w:pPr>
        <w:ind w:right="60" w:firstLine="636"/>
        <w:spacing w:after="0" w:line="267" w:lineRule="auto"/>
        <w:rPr>
          <w:sz w:val="20"/>
          <w:szCs w:val="20"/>
          <w:color w:val="auto"/>
        </w:rPr>
      </w:pPr>
      <w:r>
        <w:rPr>
          <w:rFonts w:ascii="Times New Roman" w:cs="Times New Roman" w:eastAsia="Times New Roman" w:hAnsi="Times New Roman"/>
          <w:sz w:val="17"/>
          <w:szCs w:val="17"/>
          <w:color w:val="auto"/>
        </w:rPr>
        <w:t>We currently have no products approved for commercial sale, and we are just beginning the clinical development of our product candidates. Besides LYL797 and LYL845, which are in Phase 1 clinical development, our other proprietary product candidates are currently in nonclinical development. The future success of our business is substantially dependent on our ability to obtain regulatory approval for our product candidates for the indications we seek, and, if approved, to successfully commercialize one or more product candidates in a timely manner. Each of our programs and product candidates will require clinical development, regulatory approval, obtaining manufacturing supply, capacity and expertise, building a commercial organization or successfully outsourcing commercialization, substantial investment and significant marketing efforts before we generate any revenue from product sales. We do not have any products that are approved for commercial sale, and we may never be able to develop or commercialize marketable products.</w:t>
      </w:r>
    </w:p>
    <w:p>
      <w:pPr>
        <w:spacing w:after="0" w:line="68" w:lineRule="exact"/>
        <w:rPr>
          <w:sz w:val="20"/>
          <w:szCs w:val="20"/>
          <w:color w:val="auto"/>
        </w:rPr>
      </w:pPr>
    </w:p>
    <w:p>
      <w:pPr>
        <w:ind w:firstLine="636"/>
        <w:spacing w:after="0" w:line="251" w:lineRule="auto"/>
        <w:rPr>
          <w:sz w:val="20"/>
          <w:szCs w:val="20"/>
          <w:color w:val="auto"/>
        </w:rPr>
      </w:pPr>
      <w:r>
        <w:rPr>
          <w:rFonts w:ascii="Times New Roman" w:cs="Times New Roman" w:eastAsia="Times New Roman" w:hAnsi="Times New Roman"/>
          <w:sz w:val="18"/>
          <w:szCs w:val="18"/>
          <w:color w:val="auto"/>
        </w:rPr>
        <w:t>We cannot commercialize product candidates in the United States without first obtaining regulatory approval for the product from the FDA; similarly, we cannot commercialize product candidates outside of the United States without obtaining regulatory approval from comparable foreign regulatory authorities. Before obtaining regulatory approvals for the commercial sale of any product candidate for a target indication, we must demonstrate with substantial evidence from and to the satisfaction of the FDA and foreign regulatory authorities, that the product candidate is safe, pure and potent for use for that target indication and that the manufacturing facilities, processes and controls are adequate with respect to such product candidate to assure safety, purity and potency.</w:t>
      </w:r>
    </w:p>
    <w:p>
      <w:pPr>
        <w:spacing w:after="0" w:line="79" w:lineRule="exact"/>
        <w:rPr>
          <w:sz w:val="20"/>
          <w:szCs w:val="20"/>
          <w:color w:val="auto"/>
        </w:rPr>
      </w:pPr>
    </w:p>
    <w:p>
      <w:pPr>
        <w:ind w:right="100" w:firstLine="636"/>
        <w:spacing w:after="0" w:line="215" w:lineRule="exact"/>
        <w:rPr>
          <w:sz w:val="20"/>
          <w:szCs w:val="20"/>
          <w:color w:val="auto"/>
        </w:rPr>
      </w:pPr>
      <w:r>
        <w:rPr>
          <w:rFonts w:ascii="Times New Roman" w:cs="Times New Roman" w:eastAsia="Times New Roman" w:hAnsi="Times New Roman"/>
          <w:sz w:val="17"/>
          <w:szCs w:val="17"/>
          <w:color w:val="auto"/>
        </w:rPr>
        <w:t>The time required to obtain approval by the FDA and comparable foreign regulatory authorities is unpredictable but typically takes many years following the commencement of nonclinical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future product candidates will ever obtain regulatory approval. Furthermore, the regulatory approval process for novel product candidates, such as 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cell product candidates and next-generation T-cell programs, can be more complex and consequently more expensive and take longer than for other, better known or extensively studied pharmaceutical or other product candidates.</w:t>
      </w:r>
    </w:p>
    <w:p>
      <w:pPr>
        <w:spacing w:after="0" w:line="90" w:lineRule="exact"/>
        <w:rPr>
          <w:sz w:val="20"/>
          <w:szCs w:val="20"/>
          <w:color w:val="auto"/>
        </w:rPr>
      </w:pPr>
    </w:p>
    <w:p>
      <w:pPr>
        <w:ind w:right="20" w:firstLine="636"/>
        <w:spacing w:after="0" w:line="251" w:lineRule="auto"/>
        <w:rPr>
          <w:sz w:val="20"/>
          <w:szCs w:val="20"/>
          <w:color w:val="auto"/>
        </w:rPr>
      </w:pPr>
      <w:r>
        <w:rPr>
          <w:rFonts w:ascii="Times New Roman" w:cs="Times New Roman" w:eastAsia="Times New Roman" w:hAnsi="Times New Roman"/>
          <w:sz w:val="18"/>
          <w:szCs w:val="18"/>
          <w:color w:val="auto"/>
        </w:rPr>
        <w:t>Even if a product candidate were to successfully obtain approval from the FDA and comparable foreign regulatory authorities, any approval might contain significant limitations related to use restrictions for specified age groups, warnings, precautions or contraindications, or may be subject to burdensome post-approval study or risk management requirements. If we are unable to obtain regulatory approval for one of our product candidates in one or more jurisdictions, or any approval contains significant limitations, we may not be able to obtain sufficient funding to continue the development of that product or generate revenues attributable to that product candidate. Also, any regulatory approval of our current or future product candidates, once obtained, may be withdrawn.</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cellular therapy product candidates represent new therapeutic approaches that could result in heightened regulatory scrutiny, delays in clinical development or delays in or our inability to achieve regulatory approval, commercialization or payor coverage of our product candidates.</w:t>
      </w:r>
    </w:p>
    <w:p>
      <w:pPr>
        <w:spacing w:after="0" w:line="54" w:lineRule="exact"/>
        <w:rPr>
          <w:sz w:val="20"/>
          <w:szCs w:val="20"/>
          <w:color w:val="auto"/>
        </w:rPr>
      </w:pPr>
    </w:p>
    <w:p>
      <w:pPr>
        <w:ind w:right="80" w:firstLine="636"/>
        <w:spacing w:after="0" w:line="255" w:lineRule="auto"/>
        <w:rPr>
          <w:sz w:val="20"/>
          <w:szCs w:val="20"/>
          <w:color w:val="auto"/>
        </w:rPr>
      </w:pPr>
      <w:r>
        <w:rPr>
          <w:rFonts w:ascii="Times New Roman" w:cs="Times New Roman" w:eastAsia="Times New Roman" w:hAnsi="Times New Roman"/>
          <w:sz w:val="18"/>
          <w:szCs w:val="18"/>
          <w:color w:val="auto"/>
        </w:rPr>
        <w:t>Our future success is dependent on the successful development of our cellular therapies in general and our development product candidates, in particular. Because these programs represent a new approach to the treatment of cancer, developing and, if approved, commercializing our product candidates subject us to a number of challenges. Moreover, we cannot be sure that the manufacturing processes used in connection with our cellular therapy product candidates will yield a sufficient supply of satisfactory products that are safe, pure and potent, scalable or profitable.</w:t>
      </w:r>
    </w:p>
    <w:p>
      <w:pPr>
        <w:spacing w:after="0" w:line="74" w:lineRule="exact"/>
        <w:rPr>
          <w:sz w:val="20"/>
          <w:szCs w:val="20"/>
          <w:color w:val="auto"/>
        </w:rPr>
      </w:pPr>
    </w:p>
    <w:p>
      <w:pPr>
        <w:ind w:right="40" w:firstLine="636"/>
        <w:spacing w:after="0" w:line="250" w:lineRule="auto"/>
        <w:rPr>
          <w:sz w:val="20"/>
          <w:szCs w:val="20"/>
          <w:color w:val="auto"/>
        </w:rPr>
      </w:pPr>
      <w:r>
        <w:rPr>
          <w:rFonts w:ascii="Times New Roman" w:cs="Times New Roman" w:eastAsia="Times New Roman" w:hAnsi="Times New Roman"/>
          <w:sz w:val="18"/>
          <w:szCs w:val="18"/>
          <w:color w:val="auto"/>
        </w:rPr>
        <w:t>In addition to oversight by the FDA and by IRBs under guidelines promulgated by the NIH, gene therapy clinical trials are also subject to review and oversight by an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trials of cell therapies that involve genetic engineering may proceed, the review process and determinations of other reviewing bodies can impede or delay the initiation of a clinical trial, even if the FDA has reviewed the trial and approved its initiation.</w:t>
      </w:r>
    </w:p>
    <w:p>
      <w:pPr>
        <w:spacing w:after="0" w:line="81" w:lineRule="exact"/>
        <w:rPr>
          <w:sz w:val="20"/>
          <w:szCs w:val="20"/>
          <w:color w:val="auto"/>
        </w:rPr>
      </w:pPr>
    </w:p>
    <w:p>
      <w:pPr>
        <w:ind w:right="40" w:firstLine="636"/>
        <w:spacing w:after="0" w:line="255" w:lineRule="auto"/>
        <w:rPr>
          <w:sz w:val="20"/>
          <w:szCs w:val="20"/>
          <w:color w:val="auto"/>
        </w:rPr>
      </w:pPr>
      <w:r>
        <w:rPr>
          <w:rFonts w:ascii="Times New Roman" w:cs="Times New Roman" w:eastAsia="Times New Roman" w:hAnsi="Times New Roman"/>
          <w:sz w:val="18"/>
          <w:szCs w:val="18"/>
          <w:color w:val="auto"/>
        </w:rPr>
        <w:t>Actual or perceived safety issues, including adoption of new therapeutics or novel approaches to treatment, may adversely influence the willingness of subjects to participate in clinical trials, or if approved by applicable regulatory authorities, of physicians to subscribe to the novel treatment mechanics. The FDA or other applicable regulatory authorities may ask for specific post-market requirements, and additional information informing benefits or risks of our products may emerge at any time prior to or after regulatory approval.</w:t>
      </w:r>
    </w:p>
    <w:p>
      <w:pPr>
        <w:spacing w:after="0" w:line="74" w:lineRule="exact"/>
        <w:rPr>
          <w:sz w:val="20"/>
          <w:szCs w:val="20"/>
          <w:color w:val="auto"/>
        </w:rPr>
      </w:pPr>
    </w:p>
    <w:p>
      <w:pPr>
        <w:ind w:firstLine="636"/>
        <w:spacing w:after="0" w:line="255" w:lineRule="auto"/>
        <w:rPr>
          <w:sz w:val="20"/>
          <w:szCs w:val="20"/>
          <w:color w:val="auto"/>
        </w:rPr>
      </w:pPr>
      <w:r>
        <w:rPr>
          <w:rFonts w:ascii="Times New Roman" w:cs="Times New Roman" w:eastAsia="Times New Roman" w:hAnsi="Times New Roman"/>
          <w:sz w:val="18"/>
          <w:szCs w:val="18"/>
          <w:color w:val="auto"/>
        </w:rPr>
        <w:t>Physicians, hospitals and third-party payors often are slow to adopt new products, technologies and treatment practices that require additional upfront costs and training. Physicians may not be willing to undergo training to adopt this novel therapy, may decide the therapy is too complex to adopt without appropriate training or not cost-efficient and may choose not to administer the therapy. Based on these and other factors, hospitals and payors may decide that the benefits of this new therapy do not or will not outweigh its costs.</w:t>
      </w:r>
    </w:p>
    <w:p>
      <w:pPr>
        <w:spacing w:after="0" w:line="70"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results of research, nonclinical studies or earlier clinical trials are not necessarily predictive of future results. Any product candidate we advance into clinical trials may not have favorable results in later clinical trials or receive regulatory approval.</w:t>
      </w:r>
    </w:p>
    <w:p>
      <w:pPr>
        <w:spacing w:after="0" w:line="54" w:lineRule="exact"/>
        <w:rPr>
          <w:sz w:val="20"/>
          <w:szCs w:val="20"/>
          <w:color w:val="auto"/>
        </w:rPr>
      </w:pPr>
    </w:p>
    <w:p>
      <w:pPr>
        <w:ind w:right="80" w:firstLine="636"/>
        <w:spacing w:after="0" w:line="251" w:lineRule="auto"/>
        <w:rPr>
          <w:sz w:val="20"/>
          <w:szCs w:val="20"/>
          <w:color w:val="auto"/>
        </w:rPr>
      </w:pPr>
      <w:r>
        <w:rPr>
          <w:rFonts w:ascii="Times New Roman" w:cs="Times New Roman" w:eastAsia="Times New Roman" w:hAnsi="Times New Roman"/>
          <w:sz w:val="18"/>
          <w:szCs w:val="18"/>
          <w:color w:val="auto"/>
        </w:rPr>
        <w:t>Success in research, nonclinical studies and early clinical trials does not ensure that later clinical trials will generate similar results and otherwise provide adequate data to demonstrate the efficacy and safety of an investigational product. Likewise, a number of companies in the pharmaceutical and biotechnology industries, including those with greater resources and experience than us, have suffered significant setbacks in late-stage clinical trials, even after seeing promising results in earlier nonclinical studies or clinical trials. Thus, even if the results from our initial research and nonclinical activities appear positive, we do not know whether subsequent late-stage clinical trials we may conduct will demonstrate adequate efficacy and safety to result in regulatory approval to market any product candidates.</w:t>
      </w:r>
    </w:p>
    <w:p>
      <w:pPr>
        <w:spacing w:after="0" w:line="79" w:lineRule="exact"/>
        <w:rPr>
          <w:sz w:val="20"/>
          <w:szCs w:val="20"/>
          <w:color w:val="auto"/>
        </w:rPr>
      </w:pPr>
    </w:p>
    <w:p>
      <w:pPr>
        <w:ind w:right="40" w:firstLine="636"/>
        <w:spacing w:after="0" w:line="255" w:lineRule="auto"/>
        <w:rPr>
          <w:sz w:val="20"/>
          <w:szCs w:val="20"/>
          <w:color w:val="auto"/>
        </w:rPr>
      </w:pPr>
      <w:r>
        <w:rPr>
          <w:rFonts w:ascii="Times New Roman" w:cs="Times New Roman" w:eastAsia="Times New Roman" w:hAnsi="Times New Roman"/>
          <w:sz w:val="18"/>
          <w:szCs w:val="18"/>
          <w:color w:val="auto"/>
        </w:rPr>
        <w:t>Moreover, final study results may not be consistent with interim study results. If later-stage clinical trials do not produce favorable results, our ability to achieve regulatory approval for any of our product candidates may be adversely impacted. Even if we believe that we have adequate data to support an application for regulatory approval to market any of our product candidates, the FDA or other regulatory authorities may not agree and may require that we conduct additional clinical trials.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an uncertain outcome.</w:t>
      </w:r>
    </w:p>
    <w:p>
      <w:pPr>
        <w:spacing w:after="0" w:line="115" w:lineRule="exact"/>
        <w:rPr>
          <w:sz w:val="20"/>
          <w:szCs w:val="20"/>
          <w:color w:val="auto"/>
        </w:rPr>
      </w:pPr>
    </w:p>
    <w:p>
      <w:pPr>
        <w:ind w:right="80" w:firstLine="636"/>
        <w:spacing w:after="0" w:line="266" w:lineRule="auto"/>
        <w:rPr>
          <w:sz w:val="20"/>
          <w:szCs w:val="20"/>
          <w:color w:val="auto"/>
        </w:rPr>
      </w:pPr>
      <w:r>
        <w:rPr>
          <w:rFonts w:ascii="Times New Roman" w:cs="Times New Roman" w:eastAsia="Times New Roman" w:hAnsi="Times New Roman"/>
          <w:sz w:val="17"/>
          <w:szCs w:val="17"/>
          <w:color w:val="auto"/>
        </w:rPr>
        <w:t>We are just beginning clinical development of our product candidates. Besides LYL797 and LYL845, which are in Phase 1 clinical development, our other proprietary product candidates are currently in nonclinical development. The risk of failure of our product candidates is high. The clinical trials and manufacturing of our product candidates are, and the manufacturing and marketing of our products, if approved,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nonclinical testing and clinical trials that our product candidates are both safe and effective for use in each target indication.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 w:firstLine="636"/>
        <w:spacing w:after="0" w:line="251" w:lineRule="auto"/>
        <w:rPr>
          <w:sz w:val="20"/>
          <w:szCs w:val="20"/>
          <w:color w:val="auto"/>
        </w:rPr>
      </w:pPr>
      <w:r>
        <w:rPr>
          <w:rFonts w:ascii="Times New Roman" w:cs="Times New Roman" w:eastAsia="Times New Roman" w:hAnsi="Times New Roman"/>
          <w:sz w:val="18"/>
          <w:szCs w:val="18"/>
          <w:color w:val="auto"/>
        </w:rPr>
        <w:t>The clinical testing that will be required for any product candidates we choose to advance is expensive and can take many years to complete, and its outcome is inherently uncertain. We cannot guarantee that any clinical trials will be conducted as planned or completed on schedule, if at all. Failure can occur at any time during the clinical trial process. Even if our current and planned clinical trials are completed as planned, we cannot be certain that their results will support the safety and effectiveness of our product candidates for their targeted indications or support continued clinical development of such product candidates. Product candidates in later stages of clinical trials may fail to show the desired safety and efficacy traits despite having progressed through nonclinical and clinical trials.</w:t>
      </w:r>
    </w:p>
    <w:p>
      <w:pPr>
        <w:spacing w:after="0" w:line="79" w:lineRule="exact"/>
        <w:rPr>
          <w:sz w:val="20"/>
          <w:szCs w:val="20"/>
          <w:color w:val="auto"/>
        </w:rPr>
      </w:pPr>
    </w:p>
    <w:p>
      <w:pPr>
        <w:ind w:firstLine="636"/>
        <w:spacing w:after="0" w:line="252" w:lineRule="auto"/>
        <w:rPr>
          <w:sz w:val="20"/>
          <w:szCs w:val="20"/>
          <w:color w:val="auto"/>
        </w:rPr>
      </w:pPr>
      <w:r>
        <w:rPr>
          <w:rFonts w:ascii="Times New Roman" w:cs="Times New Roman" w:eastAsia="Times New Roman" w:hAnsi="Times New Roman"/>
          <w:sz w:val="18"/>
          <w:szCs w:val="18"/>
          <w:color w:val="auto"/>
        </w:rPr>
        <w:t>In addition, even if such trials are successfully completed, we cannot guarantee that the FDA or foreign regulatory authorities will interpret the results as we do, and more trials could be required before we submit our product candidates for approval. Moreover, results acceptable to support approval in one jurisdiction may be deemed inadequate by another regulatory authority to support regulatory approval in that other jurisdiction.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79" w:lineRule="exact"/>
        <w:rPr>
          <w:sz w:val="20"/>
          <w:szCs w:val="20"/>
          <w:color w:val="auto"/>
        </w:rPr>
      </w:pPr>
    </w:p>
    <w:p>
      <w:pPr>
        <w:ind w:right="20" w:firstLine="636"/>
        <w:spacing w:after="0" w:line="249" w:lineRule="auto"/>
        <w:rPr>
          <w:sz w:val="20"/>
          <w:szCs w:val="20"/>
          <w:color w:val="auto"/>
        </w:rPr>
      </w:pPr>
      <w:r>
        <w:rPr>
          <w:rFonts w:ascii="Times New Roman" w:cs="Times New Roman" w:eastAsia="Times New Roman" w:hAnsi="Times New Roman"/>
          <w:sz w:val="18"/>
          <w:szCs w:val="18"/>
          <w:color w:val="auto"/>
        </w:rPr>
        <w:t>To date, we have not fully enrolled or completed any clinical trials required for the approval of our product candidates. We may experience delays in initiating, enrolling or conducting our current and planned clinical trials, and we do not know whether clinical trials will begin or enroll subjects on time, will need to be redesigned, will achieve expected enrollment rates or will be completed on schedule, if at all. For example, enrollment for the Phase 1 trial of LYL797 has been slower than anticipated. In addition, obtaining sufficient and specific tumor tissues will be needed for our planned Phase 1 clinical trial of LYL845 in multiple solid tumor indications. Our inability to obtain the specific tumor tissues or sufficient amount of tumor tissues in a timely manner or at all could delay or preclude our ability to initiate the planned clinical trial. There can be no assurance that the FDA or comparable foreign regulatory authorities will not put clinical trials of any of our product candidates on clinical hold in the future. Clinical trials can be delayed, suspended or terminated for a variety of reasons, including in connection with:</w:t>
      </w:r>
    </w:p>
    <w:p>
      <w:pPr>
        <w:spacing w:after="0" w:line="82" w:lineRule="exact"/>
        <w:rPr>
          <w:sz w:val="20"/>
          <w:szCs w:val="20"/>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nonclinical,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of clinical trials;</w:t>
      </w:r>
    </w:p>
    <w:p>
      <w:pPr>
        <w:spacing w:after="0" w:line="11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sufficiently developing, characterizing or controlling a manufacturing process suitable for advanced clinical trials;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the FDA or other regulatory authorities as to the design or implementation of our clinical trials;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authorization to commence a clinical trial;</w:t>
      </w:r>
    </w:p>
    <w:p>
      <w:pPr>
        <w:spacing w:after="0" w:line="111" w:lineRule="exact"/>
        <w:rPr>
          <w:rFonts w:ascii="Times New Roman" w:cs="Times New Roman" w:eastAsia="Times New Roman" w:hAnsi="Times New Roman"/>
          <w:sz w:val="18"/>
          <w:szCs w:val="18"/>
          <w:color w:val="auto"/>
        </w:rPr>
      </w:pPr>
    </w:p>
    <w:p>
      <w:pPr>
        <w:ind w:left="640" w:right="240" w:hanging="316"/>
        <w:spacing w:after="0" w:line="27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an agreement on acceptable terms with clinical trial sites or prospective CROs, the terms of which can be subject to extensive negotiation and may vary significantly among different clinical trial sites;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IRB or ethics committee approval at each trial site;</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clinical trial;</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clinical trial or return for post-treatment follow-up;</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inspections of clinical trial sites or operations by applicable regulatory authorities, or the imposition of a clinical hold;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CROs or other third parties deviating from trial protocol or dropping out of a trial;</w:t>
      </w:r>
    </w:p>
    <w:p>
      <w:pPr>
        <w:spacing w:after="0" w:line="111" w:lineRule="exact"/>
        <w:rPr>
          <w:rFonts w:ascii="Times New Roman" w:cs="Times New Roman" w:eastAsia="Times New Roman" w:hAnsi="Times New Roman"/>
          <w:sz w:val="18"/>
          <w:szCs w:val="18"/>
          <w:color w:val="auto"/>
        </w:rPr>
      </w:pPr>
    </w:p>
    <w:p>
      <w:pPr>
        <w:ind w:left="640" w:right="820" w:hanging="316"/>
        <w:spacing w:after="0" w:line="27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applicable regulatory requirements, including the FDA’s GCP requirements, or applicable regulatory requirements in other countries;</w:t>
      </w:r>
    </w:p>
    <w:p>
      <w:pPr>
        <w:spacing w:after="0" w:line="57" w:lineRule="exact"/>
        <w:rPr>
          <w:rFonts w:ascii="Times New Roman" w:cs="Times New Roman" w:eastAsia="Times New Roman" w:hAnsi="Times New Roman"/>
          <w:sz w:val="18"/>
          <w:szCs w:val="18"/>
          <w:color w:val="auto"/>
        </w:rPr>
      </w:pPr>
    </w:p>
    <w:p>
      <w:pPr>
        <w:ind w:left="640" w:right="40" w:hanging="316"/>
        <w:spacing w:after="0" w:line="27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patient safety concerns that arise during the course of a trial, including occurrence of adverse events associated with the product candidate that are viewed to outweigh its potential benefits;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 sufficient number of clinical trial sites;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product candidate for use in clinical trials; or</w:t>
      </w:r>
    </w:p>
    <w:p>
      <w:pPr>
        <w:spacing w:after="0" w:line="111" w:lineRule="exact"/>
        <w:rPr>
          <w:rFonts w:ascii="Times New Roman" w:cs="Times New Roman" w:eastAsia="Times New Roman" w:hAnsi="Times New Roman"/>
          <w:sz w:val="18"/>
          <w:szCs w:val="18"/>
          <w:color w:val="auto"/>
        </w:rPr>
      </w:pPr>
    </w:p>
    <w:p>
      <w:pPr>
        <w:ind w:left="640" w:right="180" w:hanging="316"/>
        <w:spacing w:after="0" w:line="27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suspensions or terminations by IRBs of the institutions at which such trials are being conducted, by the Data Safety Monitoring Board for such trial or by the FDA or other regulatory authorities due to a number of factors, including those described above.</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60" w:firstLine="636"/>
        <w:spacing w:after="0" w:line="271" w:lineRule="auto"/>
        <w:rPr>
          <w:sz w:val="20"/>
          <w:szCs w:val="20"/>
          <w:color w:val="auto"/>
        </w:rPr>
      </w:pPr>
      <w:r>
        <w:rPr>
          <w:rFonts w:ascii="Times New Roman" w:cs="Times New Roman" w:eastAsia="Times New Roman" w:hAnsi="Times New Roman"/>
          <w:sz w:val="17"/>
          <w:szCs w:val="17"/>
          <w:color w:val="auto"/>
        </w:rPr>
        <w:t>Further, a clinical trial may be suspended or terminated by us, the institutional review boards for the institutions in which such trials are being conducted, the Data Monitoring Committee for such trial or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62" w:lineRule="exact"/>
        <w:rPr>
          <w:sz w:val="20"/>
          <w:szCs w:val="20"/>
          <w:color w:val="auto"/>
        </w:rPr>
      </w:pPr>
    </w:p>
    <w:p>
      <w:pPr>
        <w:ind w:firstLine="636"/>
        <w:spacing w:after="0" w:line="251" w:lineRule="auto"/>
        <w:rPr>
          <w:sz w:val="20"/>
          <w:szCs w:val="20"/>
          <w:color w:val="auto"/>
        </w:rPr>
      </w:pPr>
      <w:r>
        <w:rPr>
          <w:rFonts w:ascii="Times New Roman" w:cs="Times New Roman" w:eastAsia="Times New Roman" w:hAnsi="Times New Roman"/>
          <w:sz w:val="18"/>
          <w:szCs w:val="18"/>
          <w:color w:val="auto"/>
        </w:rPr>
        <w:t>We cannot predict with any certainty whether or when we might complete a given clinical trial, if at all. If we experience delays or quality issues in the conduct, completion or termination of any clinical trial of our product candidates, the approval and commercial prospects of such product candidate will be harmed, and our ability to generate product revenues from such product candidate will be delayed. In addition, any delays in completing our clinical trials will increase our costs, slow down our product candidate development and approval process and jeopardize our ability to commence product sales and generate revenues. Many of the factors that cause, or lead to, a delay in the commencement or completion of clinical trials may ultimately lead to the denial of regulatory approval of our product candidates.</w:t>
      </w:r>
    </w:p>
    <w:p>
      <w:pPr>
        <w:spacing w:after="0" w:line="79" w:lineRule="exact"/>
        <w:rPr>
          <w:sz w:val="20"/>
          <w:szCs w:val="20"/>
          <w:color w:val="auto"/>
        </w:rPr>
      </w:pPr>
    </w:p>
    <w:p>
      <w:pPr>
        <w:ind w:firstLine="636"/>
        <w:spacing w:after="0" w:line="255" w:lineRule="auto"/>
        <w:rPr>
          <w:sz w:val="20"/>
          <w:szCs w:val="20"/>
          <w:color w:val="auto"/>
        </w:rPr>
      </w:pPr>
      <w:r>
        <w:rPr>
          <w:rFonts w:ascii="Times New Roman" w:cs="Times New Roman" w:eastAsia="Times New Roman" w:hAnsi="Times New Roman"/>
          <w:sz w:val="18"/>
          <w:szCs w:val="18"/>
          <w:color w:val="auto"/>
        </w:rPr>
        <w:t>Our product candidates may cause undesirable side effects or have other properties that could delay or prevent their regulatory approval, limit the commercial profile of an approved label or result in significant negative consequences following any regulatory approval.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4" w:lineRule="exact"/>
        <w:rPr>
          <w:sz w:val="20"/>
          <w:szCs w:val="20"/>
          <w:color w:val="auto"/>
        </w:rPr>
      </w:pPr>
    </w:p>
    <w:p>
      <w:pPr>
        <w:ind w:right="20" w:firstLine="636"/>
        <w:spacing w:after="0" w:line="248"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authority. As a result of safety or toxicity issues that we may experience in our clinical trials, we may not continue the development of nor receive approval to market any product candidates, which could prevent us from ever generating product revenues or achieving profitability. For example, previous clinical trials utilizing a CAR T cell to treat hematologic tumors have shown an increased risk of cytokine release syndrome and immune effector cell-associated neurotoxicity syndrome. Adverse events may also be associated with the lymphodepletion regimen utilized with cellular therapies. Additionally, ROR1 is expressed on a number of normal tissues. As a result, ROR1 could cause on-target, off-tumor toxicity. c-JUN is also potentially an oncogene and could cause healthy cells to transform into malignant cells. Results of our trials could reveal an unacceptably high severity and incidence of side effects, or side effects outweighing the benefits of our product candidates. In such an event, our trials could be suspended or terminated, and the FDA or comparable foreign regulatory authorities could order us to cease further development or deny approval of our product candidates for any or all targeted indications. The side effects experienced could affect patient recruitment or the ability of enrolled subjects to complete the trial or result in potential product liability claims.</w:t>
      </w:r>
    </w:p>
    <w:p>
      <w:pPr>
        <w:spacing w:after="0" w:line="85" w:lineRule="exact"/>
        <w:rPr>
          <w:sz w:val="20"/>
          <w:szCs w:val="20"/>
          <w:color w:val="auto"/>
        </w:rPr>
      </w:pPr>
    </w:p>
    <w:p>
      <w:pPr>
        <w:ind w:right="240" w:firstLine="636"/>
        <w:spacing w:after="0" w:line="274" w:lineRule="auto"/>
        <w:rPr>
          <w:sz w:val="20"/>
          <w:szCs w:val="20"/>
          <w:color w:val="auto"/>
        </w:rPr>
      </w:pPr>
      <w:r>
        <w:rPr>
          <w:rFonts w:ascii="Times New Roman" w:cs="Times New Roman" w:eastAsia="Times New Roman" w:hAnsi="Times New Roman"/>
          <w:sz w:val="18"/>
          <w:szCs w:val="18"/>
          <w:color w:val="auto"/>
        </w:rPr>
        <w:t>In the event that any of our product candidates receives regulatory approval and we or others later identify undesirable or unacceptable side effects caused by such products, a number of potentially significant negative consequences could result, including:</w:t>
      </w:r>
    </w:p>
    <w:p>
      <w:pPr>
        <w:spacing w:after="0" w:line="57" w:lineRule="exact"/>
        <w:rPr>
          <w:sz w:val="20"/>
          <w:szCs w:val="20"/>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approvals of such products and require us to take our approved product off the market;</w:t>
      </w:r>
    </w:p>
    <w:p>
      <w:pPr>
        <w:spacing w:after="0" w:line="111" w:lineRule="exact"/>
        <w:rPr>
          <w:rFonts w:ascii="Times New Roman" w:cs="Times New Roman" w:eastAsia="Times New Roman" w:hAnsi="Times New Roman"/>
          <w:sz w:val="18"/>
          <w:szCs w:val="18"/>
          <w:color w:val="auto"/>
        </w:rPr>
      </w:pPr>
    </w:p>
    <w:p>
      <w:pPr>
        <w:ind w:left="640" w:right="780" w:hanging="316"/>
        <w:spacing w:after="0" w:line="274"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a contraindication or field alerts to physicians and pharmacies, or issue other communications containing warnings or other safety information about the product;</w:t>
      </w:r>
    </w:p>
    <w:p>
      <w:pPr>
        <w:spacing w:after="0" w:line="57" w:lineRule="exact"/>
        <w:rPr>
          <w:rFonts w:ascii="Times New Roman" w:cs="Times New Roman" w:eastAsia="Times New Roman" w:hAnsi="Times New Roman"/>
          <w:sz w:val="18"/>
          <w:szCs w:val="18"/>
          <w:color w:val="auto"/>
        </w:rPr>
      </w:pPr>
    </w:p>
    <w:p>
      <w:pPr>
        <w:ind w:left="640" w:right="180" w:hanging="316"/>
        <w:spacing w:after="0" w:line="274"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medication guide outlining the risks of such side effects for distribution to patients, or that we implement a risk evaluation and mitigation strategy (REMS) plan to ensure that the benefits of the product outweigh its risks;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change the dose or the way the product is administered, conduct additional clinical trials or change the labeling of the product;</w:t>
      </w:r>
    </w:p>
    <w:p>
      <w:pPr>
        <w:spacing w:after="0" w:line="122"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or manufacture the product;</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or product liability claims;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00" w:firstLine="636"/>
        <w:spacing w:after="0" w:line="259" w:lineRule="auto"/>
        <w:rPr>
          <w:sz w:val="20"/>
          <w:szCs w:val="20"/>
          <w:color w:val="auto"/>
        </w:rPr>
      </w:pPr>
      <w:r>
        <w:rPr>
          <w:rFonts w:ascii="Times New Roman" w:cs="Times New Roman" w:eastAsia="Times New Roman" w:hAnsi="Times New Roman"/>
          <w:sz w:val="18"/>
          <w:szCs w:val="18"/>
          <w:color w:val="auto"/>
        </w:rPr>
        <w:t>Any of these events could prevent us or our potential future partners from achieving or maintaining market acceptance of the affected product or could substantially increase commercialization costs and expenses, which in turn could delay or prevent us from generating significant revenue from the sale of any products.</w:t>
      </w:r>
    </w:p>
    <w:p>
      <w:pPr>
        <w:spacing w:after="0" w:line="68"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Interim, topline or preliminary data from our clinical trials that we announce or publish from time to time may change as more patient data becomes available or as we make changes to our manufacturing processes and are subject to audit and verification procedures that could result in material changes in the final data.</w:t>
      </w:r>
    </w:p>
    <w:p>
      <w:pPr>
        <w:spacing w:after="0" w:line="68" w:lineRule="exact"/>
        <w:rPr>
          <w:sz w:val="20"/>
          <w:szCs w:val="20"/>
          <w:color w:val="auto"/>
        </w:rPr>
      </w:pPr>
    </w:p>
    <w:p>
      <w:pPr>
        <w:ind w:firstLine="636"/>
        <w:spacing w:after="0" w:line="249"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nonclinical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Further, modifications or improvements to our manufacturing processes for a therapy may result in changes to the characteristics or behavior of the product candidate that could cause our product candidates to perform differently and affect the results of our ongoing clinical trials.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81" w:lineRule="exact"/>
        <w:rPr>
          <w:sz w:val="20"/>
          <w:szCs w:val="20"/>
          <w:color w:val="auto"/>
        </w:rPr>
      </w:pPr>
    </w:p>
    <w:p>
      <w:pPr>
        <w:ind w:right="40" w:firstLine="636"/>
        <w:spacing w:after="0" w:line="255" w:lineRule="auto"/>
        <w:rPr>
          <w:sz w:val="20"/>
          <w:szCs w:val="20"/>
          <w:color w:val="auto"/>
        </w:rPr>
      </w:pPr>
      <w:r>
        <w:rPr>
          <w:rFonts w:ascii="Times New Roman" w:cs="Times New Roman" w:eastAsia="Times New Roman" w:hAnsi="Times New Roman"/>
          <w:sz w:val="18"/>
          <w:szCs w:val="18"/>
          <w:color w:val="auto"/>
        </w:rPr>
        <w:t>From time to time, we may also disclose preliminary or interim data from our nonclinical studies and clinical trials. Preliminary or interim data from clinical trials are subject to the risk that one or more of the clinical outcomes may materially change as patient enrollment continues and more patient data become available. Adverse differences between preliminary or interim data and final data could significantly harm our business prospects. Additionally, disclosure of preliminary or interim data by us or by our competitors could result in volatility in the price of our common stock.</w:t>
      </w:r>
    </w:p>
    <w:p>
      <w:pPr>
        <w:spacing w:after="0" w:line="74" w:lineRule="exact"/>
        <w:rPr>
          <w:sz w:val="20"/>
          <w:szCs w:val="20"/>
          <w:color w:val="auto"/>
        </w:rPr>
      </w:pPr>
    </w:p>
    <w:p>
      <w:pPr>
        <w:ind w:right="20" w:firstLine="636"/>
        <w:spacing w:after="0" w:line="252"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If the interim, topline or preliminary data that we report differ from actual results, or if others, including regulatory authorities, disagree with the conclusions reached, our ability to obtain approval for, and commercialize, any of our potential product candidates may be harmed, which could harm our business, operating results, prospects, or financial condition.</w:t>
      </w:r>
    </w:p>
    <w:p>
      <w:pPr>
        <w:spacing w:after="0" w:line="75"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FDA regulatory approval process is lengthy, time-consuming and inherently unpredictable. If we are not able to obtain required regulatory approval of our product candidates, our business will be substantially harmed.</w:t>
      </w:r>
    </w:p>
    <w:p>
      <w:pPr>
        <w:spacing w:after="0" w:line="54" w:lineRule="exact"/>
        <w:rPr>
          <w:sz w:val="20"/>
          <w:szCs w:val="20"/>
          <w:color w:val="auto"/>
        </w:rPr>
      </w:pPr>
    </w:p>
    <w:p>
      <w:pPr>
        <w:ind w:right="360" w:firstLine="636"/>
        <w:spacing w:after="0" w:line="259" w:lineRule="auto"/>
        <w:rPr>
          <w:sz w:val="20"/>
          <w:szCs w:val="20"/>
          <w:color w:val="auto"/>
        </w:rPr>
      </w:pPr>
      <w:r>
        <w:rPr>
          <w:rFonts w:ascii="Times New Roman" w:cs="Times New Roman" w:eastAsia="Times New Roman" w:hAnsi="Times New Roman"/>
          <w:sz w:val="18"/>
          <w:szCs w:val="18"/>
          <w:color w:val="auto"/>
        </w:rPr>
        <w:t>We expect the novel nature of our product candidates to create challenges in obtaining regulatory approval. For example, the FDA has limited experience with commercial development of T-cell therapies for cancer. Accordingly, the regulatory approval pathway for our product candidates may be uncertain, complex, expensive and lengthy, and approval may not be obtained.</w:t>
      </w:r>
    </w:p>
    <w:p>
      <w:pPr>
        <w:spacing w:after="0" w:line="72" w:lineRule="exact"/>
        <w:rPr>
          <w:sz w:val="20"/>
          <w:szCs w:val="20"/>
          <w:color w:val="auto"/>
        </w:rPr>
      </w:pPr>
    </w:p>
    <w:p>
      <w:pPr>
        <w:ind w:firstLine="636"/>
        <w:spacing w:after="0" w:line="251" w:lineRule="auto"/>
        <w:rPr>
          <w:sz w:val="20"/>
          <w:szCs w:val="20"/>
          <w:color w:val="auto"/>
        </w:rPr>
      </w:pPr>
      <w:r>
        <w:rPr>
          <w:rFonts w:ascii="Times New Roman" w:cs="Times New Roman" w:eastAsia="Times New Roman" w:hAnsi="Times New Roman"/>
          <w:sz w:val="18"/>
          <w:szCs w:val="18"/>
          <w:color w:val="auto"/>
        </w:rPr>
        <w:t>Prior to obtaining approval to commercialize any drug product candidate in the United States or abroad, we must demonstrate with substantial evidence from well-controlled clinical trials, and to the satisfaction of the FDA or foreign regulatory agencies, that such product candidates are safe, pure and potent for their intended uses. Results from nonclinical studies and clinical trials can be interpreted in different ways. Even if we believe the nonclinical or clinical data for our product candidates are promising, such data may not be sufficient to support approval by the FDA and other regulatory authorities. The FDA may also require us to conduct additional nonclinical studies or clinical trials for our product candidates either prior to or after approval, or it may object to elements of our clinical development programs.</w:t>
      </w:r>
    </w:p>
    <w:p>
      <w:pPr>
        <w:spacing w:after="0" w:line="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11" w:lineRule="exact"/>
        <w:rPr>
          <w:sz w:val="20"/>
          <w:szCs w:val="20"/>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1" w:lineRule="exact"/>
        <w:rPr>
          <w:rFonts w:ascii="Times New Roman" w:cs="Times New Roman" w:eastAsia="Times New Roman" w:hAnsi="Times New Roman"/>
          <w:sz w:val="18"/>
          <w:szCs w:val="18"/>
          <w:color w:val="auto"/>
        </w:rPr>
      </w:pPr>
    </w:p>
    <w:p>
      <w:pPr>
        <w:ind w:left="640" w:right="340" w:hanging="316"/>
        <w:spacing w:after="0" w:line="274"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7"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40" w:right="100" w:hanging="316"/>
        <w:spacing w:after="0" w:line="274"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57" w:lineRule="exact"/>
        <w:rPr>
          <w:rFonts w:ascii="Times New Roman" w:cs="Times New Roman" w:eastAsia="Times New Roman" w:hAnsi="Times New Roman"/>
          <w:sz w:val="18"/>
          <w:szCs w:val="18"/>
          <w:color w:val="auto"/>
        </w:rPr>
      </w:pPr>
    </w:p>
    <w:p>
      <w:pPr>
        <w:ind w:left="640" w:right="260" w:hanging="316"/>
        <w:spacing w:after="0" w:line="274"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authorities may significantly change in a manner rendering our clinical data insufficient for approval.</w:t>
      </w:r>
    </w:p>
    <w:p>
      <w:pPr>
        <w:spacing w:after="0" w:line="57" w:lineRule="exact"/>
        <w:rPr>
          <w:sz w:val="20"/>
          <w:szCs w:val="20"/>
          <w:color w:val="auto"/>
        </w:rPr>
      </w:pPr>
    </w:p>
    <w:p>
      <w:pPr>
        <w:jc w:val="both"/>
        <w:ind w:right="280" w:firstLine="636"/>
        <w:spacing w:after="0" w:line="255" w:lineRule="auto"/>
        <w:rPr>
          <w:sz w:val="20"/>
          <w:szCs w:val="20"/>
          <w:color w:val="auto"/>
        </w:rPr>
      </w:pPr>
      <w:r>
        <w:rPr>
          <w:rFonts w:ascii="Times New Roman" w:cs="Times New Roman" w:eastAsia="Times New Roman" w:hAnsi="Times New Roman"/>
          <w:sz w:val="18"/>
          <w:szCs w:val="18"/>
          <w:color w:val="auto"/>
        </w:rPr>
        <w:t>Of the large number of products in development, only a small percentage successfully complete the FDA or foreign regulatory approval processes and are commercialized. The lengthy approval and marketing authorization process as well as the unpredictability of clinical trial results may result in our failing to obtain regulatory approval and marketing authorization to market our product candidates, which would significantly harm our business, financial condition, results of operations and prospects.</w:t>
      </w:r>
    </w:p>
    <w:p>
      <w:pPr>
        <w:spacing w:after="0" w:line="74" w:lineRule="exact"/>
        <w:rPr>
          <w:sz w:val="20"/>
          <w:szCs w:val="20"/>
          <w:color w:val="auto"/>
        </w:rPr>
      </w:pPr>
    </w:p>
    <w:p>
      <w:pPr>
        <w:ind w:right="60" w:firstLine="636"/>
        <w:spacing w:after="0" w:line="250" w:lineRule="auto"/>
        <w:rPr>
          <w:sz w:val="20"/>
          <w:szCs w:val="20"/>
          <w:color w:val="auto"/>
        </w:rPr>
      </w:pPr>
      <w:r>
        <w:rPr>
          <w:rFonts w:ascii="Times New Roman" w:cs="Times New Roman" w:eastAsia="Times New Roman" w:hAnsi="Times New Roman"/>
          <w:sz w:val="18"/>
          <w:szCs w:val="18"/>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institutional review boards for the institutions in which such trials are being conducted, the Data Monitoring Committee for such trial or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81" w:lineRule="exact"/>
        <w:rPr>
          <w:sz w:val="20"/>
          <w:szCs w:val="20"/>
          <w:color w:val="auto"/>
        </w:rPr>
      </w:pPr>
    </w:p>
    <w:p>
      <w:pPr>
        <w:ind w:right="80" w:firstLine="636"/>
        <w:spacing w:after="0" w:line="271" w:lineRule="auto"/>
        <w:rPr>
          <w:sz w:val="20"/>
          <w:szCs w:val="20"/>
          <w:color w:val="auto"/>
        </w:rPr>
      </w:pPr>
      <w:r>
        <w:rPr>
          <w:rFonts w:ascii="Times New Roman" w:cs="Times New Roman" w:eastAsia="Times New Roman" w:hAnsi="Times New Roman"/>
          <w:sz w:val="17"/>
          <w:szCs w:val="17"/>
          <w:color w:val="auto"/>
        </w:rPr>
        <w:t>Moreover,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the marketing application we submit. Any such delay or rejection could prevent or delay us from commercializing our current or future product candidates.</w:t>
      </w:r>
    </w:p>
    <w:p>
      <w:pPr>
        <w:spacing w:after="0" w:line="62" w:lineRule="exact"/>
        <w:rPr>
          <w:sz w:val="20"/>
          <w:szCs w:val="20"/>
          <w:color w:val="auto"/>
        </w:rPr>
      </w:pPr>
    </w:p>
    <w:p>
      <w:pPr>
        <w:ind w:right="80" w:firstLine="636"/>
        <w:spacing w:after="0" w:line="252" w:lineRule="auto"/>
        <w:rPr>
          <w:sz w:val="20"/>
          <w:szCs w:val="20"/>
          <w:color w:val="auto"/>
        </w:rPr>
      </w:pPr>
      <w:r>
        <w:rPr>
          <w:rFonts w:ascii="Times New Roman" w:cs="Times New Roman" w:eastAsia="Times New Roman" w:hAnsi="Times New Roman"/>
          <w:sz w:val="18"/>
          <w:szCs w:val="18"/>
          <w:color w:val="auto"/>
        </w:rPr>
        <w:t>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 Many of the factors that cause, or lead to, a delay in the commencement or completion of clinical trials may ultimately lead to the denial of regulatory approval of our product candidates.</w:t>
      </w:r>
    </w:p>
    <w:p>
      <w:pPr>
        <w:spacing w:after="0" w:line="75"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52" w:lineRule="exact"/>
        <w:rPr>
          <w:sz w:val="20"/>
          <w:szCs w:val="20"/>
          <w:color w:val="auto"/>
        </w:rPr>
      </w:pPr>
    </w:p>
    <w:p>
      <w:pPr>
        <w:ind w:firstLine="636"/>
        <w:spacing w:after="0" w:line="250" w:lineRule="auto"/>
        <w:rPr>
          <w:sz w:val="20"/>
          <w:szCs w:val="20"/>
          <w:color w:val="auto"/>
        </w:rPr>
      </w:pPr>
      <w:r>
        <w:rPr>
          <w:rFonts w:ascii="Times New Roman" w:cs="Times New Roman" w:eastAsia="Times New Roman" w:hAnsi="Times New Roman"/>
          <w:sz w:val="18"/>
          <w:szCs w:val="18"/>
          <w:color w:val="auto"/>
        </w:rPr>
        <w:t>If the FDA or a comparable foreign regulatory authority approves any of our product candidates, the manufacturing processes, testing, labeling, packaging, distribution, import, export,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for any clinical trials that we conduct post-approval, all of which may result in significant expense and limit our ability to commercialize such products. In addition,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w:t>
      </w:r>
    </w:p>
    <w:p>
      <w:pPr>
        <w:spacing w:after="0" w:line="81" w:lineRule="exact"/>
        <w:rPr>
          <w:sz w:val="20"/>
          <w:szCs w:val="20"/>
          <w:color w:val="auto"/>
        </w:rPr>
      </w:pPr>
    </w:p>
    <w:p>
      <w:pPr>
        <w:ind w:right="120" w:firstLine="636"/>
        <w:spacing w:after="0" w:line="251"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comply with extensive FDA and comparable foreign regulatory authority requirements, including ensuring that quality control and manufacturing procedures conform to cGMP regulations, as well as, for the manufacture of certain of our product candidates, the FDA’s cGTPs for the use of human cellular and tissue products to prevent the introduction, transmission or spread of communicable diseases. As such, we and our contract manufacturers will be subject to continual review and inspections to assess compliance with cGMPs, cGTPs and adherence to commitments made in any approved marketing application. Accordingly, we and others with whom we work must continue to expend time, money and effort in all areas of regulatory compliance, including manufacturing, quality control and distribution.</w:t>
      </w:r>
    </w:p>
    <w:p>
      <w:pPr>
        <w:spacing w:after="0" w:line="79" w:lineRule="exact"/>
        <w:rPr>
          <w:sz w:val="20"/>
          <w:szCs w:val="20"/>
          <w:color w:val="auto"/>
        </w:rPr>
      </w:pPr>
    </w:p>
    <w:p>
      <w:pPr>
        <w:ind w:right="480" w:firstLine="636"/>
        <w:spacing w:after="0" w:line="274" w:lineRule="auto"/>
        <w:rPr>
          <w:sz w:val="20"/>
          <w:szCs w:val="20"/>
          <w:color w:val="auto"/>
        </w:rPr>
      </w:pPr>
      <w:r>
        <w:rPr>
          <w:rFonts w:ascii="Times New Roman" w:cs="Times New Roman" w:eastAsia="Times New Roman" w:hAnsi="Times New Roman"/>
          <w:sz w:val="18"/>
          <w:szCs w:val="18"/>
          <w:color w:val="auto"/>
        </w:rPr>
        <w:t>If there are changes in the application of legislation or regulatory policies, or if problems are discovered with a product or our manufacture of a product, or if we or one of our distributors, licensees or co-marketers fails to comply with</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regulatory requirements, the regulators could take various actions. These include issuing warning letters or untitled letters, imposing fines on us, imposing restrictions on the product or its manufacture and requiring us to recall or remove the product from the market. The regulators could also suspend or withdraw our marketing authorizations, requiring us to conduct additional clinical trials, change our product labeling or submit additional applications for marketing authorization. If any of these events occurs, our ability to sell such product may be impaired, and we may incur substantial additional expense to comply with regulatory requirements, which could materially adversely affect our business, financial condition and results of operations.</w:t>
      </w:r>
    </w:p>
    <w:p>
      <w:pPr>
        <w:spacing w:after="0" w:line="79" w:lineRule="exact"/>
        <w:rPr>
          <w:sz w:val="20"/>
          <w:szCs w:val="20"/>
          <w:color w:val="auto"/>
        </w:rPr>
      </w:pPr>
    </w:p>
    <w:p>
      <w:pPr>
        <w:ind w:right="20" w:firstLine="636"/>
        <w:spacing w:after="0" w:line="247" w:lineRule="auto"/>
        <w:rPr>
          <w:sz w:val="20"/>
          <w:szCs w:val="20"/>
          <w:color w:val="auto"/>
        </w:rPr>
      </w:pPr>
      <w:r>
        <w:rPr>
          <w:rFonts w:ascii="Times New Roman" w:cs="Times New Roman" w:eastAsia="Times New Roman" w:hAnsi="Times New Roman"/>
          <w:sz w:val="18"/>
          <w:szCs w:val="18"/>
          <w:color w:val="auto"/>
        </w:rPr>
        <w:t>In addition, if we have any product candidate approved, our product labeling, advertising and promotion will be subject to regulatory requirements and continuing regulatory review. In the United States, the FDA and the Federal Trade Commission (FTC) strictly regulate the promotional claims that may be made about pharmaceutical products to ensure that any claims about such products are consistent with regulatory approvals, not misleading or false in any particular way and adequately substantiated by clinical data. The promotion of a drug product in a manner that is false, misleading, unsubstantiated or for unapproved (or off-label) uses may result in enforcement letters, inquiries and investigations and civil and criminal sanctions by the FDA, FTC and other regulatory authorities. In particular, a product may not be promoted for uses that are not approved by the FDA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FDA and other agencies actively enforce the laws and regulations prohibiting the promotion of off-label uses, and a company that is found to have improperly promoted off-label uses may be subject to significant sanctions and may result in false claims litigation under federal and state statutes, which can lead to consent decrees, civil monetary penalties, restitution, criminal fines and imprisonment, and exclusion from participation in Medicare, Medicaid and other federal and state healthcare programs. The federal government has levied large civil and criminal fines against companies for alleged improper promotion and has enjoined several companies from engaging in off-label promotion. The government has also required that companies enter into consent decrees and/or imposed permanent injunctions under which specified promotional conduct is changed or curtailed.</w:t>
      </w:r>
    </w:p>
    <w:p>
      <w:pPr>
        <w:spacing w:after="0" w:line="92" w:lineRule="exact"/>
        <w:rPr>
          <w:sz w:val="20"/>
          <w:szCs w:val="20"/>
          <w:color w:val="auto"/>
        </w:rPr>
      </w:pPr>
    </w:p>
    <w:p>
      <w:pPr>
        <w:ind w:firstLine="636"/>
        <w:spacing w:after="0" w:line="255" w:lineRule="auto"/>
        <w:rPr>
          <w:sz w:val="20"/>
          <w:szCs w:val="20"/>
          <w:color w:val="auto"/>
        </w:rPr>
      </w:pPr>
      <w:r>
        <w:rPr>
          <w:rFonts w:ascii="Times New Roman" w:cs="Times New Roman" w:eastAsia="Times New Roman" w:hAnsi="Times New Roman"/>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4" w:lineRule="exact"/>
        <w:rPr>
          <w:sz w:val="20"/>
          <w:szCs w:val="20"/>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w:t>
      </w:r>
    </w:p>
    <w:p>
      <w:pPr>
        <w:spacing w:after="0" w:line="111" w:lineRule="exact"/>
        <w:rPr>
          <w:rFonts w:ascii="Times New Roman" w:cs="Times New Roman" w:eastAsia="Times New Roman" w:hAnsi="Times New Roman"/>
          <w:sz w:val="18"/>
          <w:szCs w:val="18"/>
          <w:color w:val="auto"/>
        </w:rPr>
      </w:pPr>
    </w:p>
    <w:p>
      <w:pPr>
        <w:ind w:left="640" w:right="340" w:hanging="316"/>
        <w:spacing w:after="0" w:line="274"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require us to issue, safety-related communications, such as safety alerts, field alerts, “Dear Doctor” letters to healthcare professionals, or import alerts;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civil or criminal penalties;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limit, or withdraw regulatory approval;</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of our nonclinical studies and clinical trials;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approved applications submitted by us;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our operations, including closing our and our contract manufacturers’ facilities; or</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products, or require us to conduct a product recall.</w:t>
      </w:r>
    </w:p>
    <w:p>
      <w:pPr>
        <w:spacing w:after="0" w:line="111" w:lineRule="exact"/>
        <w:rPr>
          <w:sz w:val="20"/>
          <w:szCs w:val="20"/>
          <w:color w:val="auto"/>
        </w:rPr>
      </w:pPr>
    </w:p>
    <w:p>
      <w:pPr>
        <w:ind w:right="100" w:firstLine="636"/>
        <w:spacing w:after="0" w:line="255"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approved. If regulatory sanctions are applied or if regulatory approval is withdrawn, the value of our company and our operating results will be adversely affected.</w:t>
      </w:r>
    </w:p>
    <w:p>
      <w:pPr>
        <w:spacing w:after="0" w:line="74" w:lineRule="exact"/>
        <w:rPr>
          <w:sz w:val="20"/>
          <w:szCs w:val="20"/>
          <w:color w:val="auto"/>
        </w:rPr>
      </w:pPr>
    </w:p>
    <w:p>
      <w:pPr>
        <w:ind w:right="280" w:firstLine="636"/>
        <w:spacing w:after="0" w:line="251" w:lineRule="auto"/>
        <w:rPr>
          <w:sz w:val="20"/>
          <w:szCs w:val="20"/>
          <w:color w:val="auto"/>
        </w:rPr>
      </w:pPr>
      <w:r>
        <w:rPr>
          <w:rFonts w:ascii="Times New Roman" w:cs="Times New Roman" w:eastAsia="Times New Roman" w:hAnsi="Times New Roman"/>
          <w:sz w:val="18"/>
          <w:szCs w:val="18"/>
          <w:color w:val="auto"/>
        </w:rPr>
        <w:t>Moreover, 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For example, during the Trump administration several executive actions were taken, including the issuance of a number of Executive Orders, that imposed significant burdens on, or otherwise delayed, the FDA’s ability to engage in routine oversight activities such as implementing statutes through rulemaking, issuance of guidance and review and approval of marketing applications. It is difficult to predict how</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similar orders in the future would be implemented, and the extent to which they would impact the FDA’s ability to exercise its regulatory authority. If executive actions are taken that impose restrictions on the FDA’s ability to engage in oversight and implementation activities in the normal course, our business may be negatively impacted. 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75"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applicable fraud and abuse, including anti-kickback and false claims, transparency, health information privacy and security and other healthcare laws. Failure to comply with such laws, may result in substantial penalties.</w:t>
      </w:r>
    </w:p>
    <w:p>
      <w:pPr>
        <w:spacing w:after="0" w:line="54" w:lineRule="exact"/>
        <w:rPr>
          <w:sz w:val="20"/>
          <w:szCs w:val="20"/>
          <w:color w:val="auto"/>
        </w:rPr>
      </w:pPr>
    </w:p>
    <w:p>
      <w:pPr>
        <w:ind w:right="20" w:firstLine="636"/>
        <w:spacing w:after="0" w:line="248" w:lineRule="auto"/>
        <w:rPr>
          <w:sz w:val="20"/>
          <w:szCs w:val="20"/>
          <w:color w:val="auto"/>
        </w:rPr>
      </w:pPr>
      <w:r>
        <w:rPr>
          <w:rFonts w:ascii="Times New Roman" w:cs="Times New Roman" w:eastAsia="Times New Roman" w:hAnsi="Times New Roman"/>
          <w:sz w:val="18"/>
          <w:szCs w:val="18"/>
          <w:color w:val="auto"/>
        </w:rPr>
        <w:t>We may be subject to broadly applicable healthcare laws and regulations that may constrain the business or financial arrangements and relationships through which we conduct research, market, sell and distribute any product candidates for which we obtain marketing approval. The healthcare laws that may affect us include: the federal fraud and abuse laws, including the federal anti-kickback, and false claims and civil monetary penalties laws; federal data privacy and security laws, including the Health Insurance Portability and Accountability Act, as amended by the Health Information Technology for Economic and Clinical Health Act; and federal transparency laws related to ownership and investment interests and payments and/or other transfers of value made to or held by physicians (including doctors, dentists, optometrists, podiatrists and chiropractors), other healthcare professionals (such as physician assistants and nurse practitioners) and teaching hospitals, as well as information regarding ownership and investment interests held by physicians and their immediate family members. In addition, many states have similar laws and regulations that may differ from each other and federal law in significant ways, thus complicating compliance efforts. Moreover, several states require biopharmaceutical companies to comply with the biopharmaceutical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Additionally, some state and local laws require the registration of biopharmaceutical sales representatives in the jurisdiction.</w:t>
      </w:r>
    </w:p>
    <w:p>
      <w:pPr>
        <w:spacing w:after="0" w:line="83" w:lineRule="exact"/>
        <w:rPr>
          <w:sz w:val="20"/>
          <w:szCs w:val="20"/>
          <w:color w:val="auto"/>
        </w:rPr>
      </w:pPr>
    </w:p>
    <w:p>
      <w:pPr>
        <w:ind w:right="40" w:firstLine="636"/>
        <w:spacing w:after="0" w:line="248" w:lineRule="auto"/>
        <w:rPr>
          <w:sz w:val="20"/>
          <w:szCs w:val="20"/>
          <w:color w:val="auto"/>
        </w:rPr>
      </w:pPr>
      <w:r>
        <w:rPr>
          <w:rFonts w:ascii="Times New Roman" w:cs="Times New Roman" w:eastAsia="Times New Roman" w:hAnsi="Times New Roman"/>
          <w:sz w:val="18"/>
          <w:szCs w:val="18"/>
          <w:color w:val="auto"/>
        </w:rPr>
        <w:t>Ensuring that our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are compensated in the form of stock options for consulting services provided,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civil, criminal and administrative penalties, damages, disgorgement, fines, imprisonment, exclusion of products from government funded healthcare programs, such as Medicare and Medicaid, additional reporting requirements and/or oversight if a corporate integrity agreement or similar agreement is executed to resolve allegations of non-compliance with these laws and the curtailment or restructuring of operations. In addition, violations may also result in reputational harm, diminished profits and lower future earnings. For additional detail on healthcare laws that may affect our business, see “Other Healthcare Laws” in the business section of this Annual Report on Form 10-K for the year ended December 31, 2022.</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healthcare policies, laws and regulations may impact our ability to obtain approval for, or commercialize our product candidates, if approved.</w:t>
      </w:r>
    </w:p>
    <w:p>
      <w:pPr>
        <w:spacing w:after="0" w:line="74" w:lineRule="exact"/>
        <w:rPr>
          <w:sz w:val="20"/>
          <w:szCs w:val="20"/>
          <w:color w:val="auto"/>
        </w:rPr>
      </w:pPr>
    </w:p>
    <w:p>
      <w:pPr>
        <w:ind w:right="20" w:firstLine="636"/>
        <w:spacing w:after="0" w:line="249"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reforms of the healthcare system in an effort to contain costs, improve quality and expand access to care. In the United States, there have been and continue to be a number of healthcare-related legislative initiatives, as well as executive, judicial and Congressional challenges to existing healthcare laws that have significantly affected, and could continue to significantly affect, the healthcare industry. For example, there have been efforts to repeal, substantially modify or invalidate some or all of the provisions of the Patient Protection and Affordable Care Act of 2010, as amended by the Health Care and Education Reconciliation Act of 2010 (collectively, the ACA), some of which have been successful. While the U.S. Supreme Court dismissed in June 2021 a challenge on procedural grounds that argued the ACA is unconstitutional in its entirety because the “individual mandate” was repealed by Congress, allowing the ACA to remain in effect in its current form, such efforts may continue.</w:t>
      </w:r>
    </w:p>
    <w:p>
      <w:pPr>
        <w:spacing w:after="0" w:line="31" w:lineRule="exact"/>
        <w:rPr>
          <w:sz w:val="20"/>
          <w:szCs w:val="20"/>
          <w:color w:val="auto"/>
        </w:rPr>
      </w:pPr>
    </w:p>
    <w:p>
      <w:pPr>
        <w:ind w:firstLine="636"/>
        <w:spacing w:after="0" w:line="252" w:lineRule="auto"/>
        <w:rPr>
          <w:sz w:val="20"/>
          <w:szCs w:val="20"/>
          <w:color w:val="auto"/>
        </w:rPr>
      </w:pPr>
      <w:r>
        <w:rPr>
          <w:rFonts w:ascii="Times New Roman" w:cs="Times New Roman" w:eastAsia="Times New Roman" w:hAnsi="Times New Roman"/>
          <w:sz w:val="18"/>
          <w:szCs w:val="18"/>
          <w:color w:val="auto"/>
        </w:rPr>
        <w:t>In addition, there continues to be heightened governmental scrutiny over the manner in which manufacturers set prices for their marketed products, which has resulted in several U.S. presidential executive orders,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For example, President Biden issued an executive order in July 2021 supporting legislation to enact drug pricing reforms and, in response, the U.S. Department of Health and Human Services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(HHS) released a Comprehensive Plan for Addressing High Drug Prices in September 2021 with specific legislative and administrative policies that Congress could enact to help improve affordability of, and access to, prescription drugs. Further, on August 16, 2022, President Biden signed the Inflation Reduction Act of 2022 (IRA) into law, which 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under the law, and (ii) imposes rebates under Medicare Part B and Medicare Part D to penalize price increases that outpace inflation. Additionally, the IRA will also extend enhanced subsidies for individuals purchasing health insurance coverage in the ACA marketplaces through plan year 2025. The IRA also eliminates the “donut hole” under the Medicare Part D program beginning in 2025 by significantly lowering the beneficiary maximum out-of-pocket cost through a newly established manufacturer discount program. The IRA permits HHS to implement many of these provisions through guidance, as opposed to regulation, for the initial years. These provisions will take effect progressively starting in fiscal year 2023, although they may be subject to legal challenges. It is currently unclear how the IRA will be effectuated but is likely to have a significant impact on the pharmaceutical industry. Further, the Biden administration released an additional executive order on October 14, 2022, directing HHS to submit a report within ninety (90) days on how the Center for Medicare and Medicaid Innovation can be further leveraged to test new models for lowering drug costs for Medicare and Medicaid beneficiaries. It is unclear whether this executive order or similar policy initiatives will be implemented in the future.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 For additional detail on healthcare reform that may affect our business, see “Healthcare Reform” in the business section of our Annual Report on Form 10-K for the year ended December 31, 2022.</w:t>
      </w:r>
    </w:p>
    <w:p>
      <w:pPr>
        <w:spacing w:after="0" w:line="85" w:lineRule="exact"/>
        <w:rPr>
          <w:sz w:val="20"/>
          <w:szCs w:val="20"/>
          <w:color w:val="auto"/>
        </w:rPr>
      </w:pPr>
    </w:p>
    <w:p>
      <w:pPr>
        <w:jc w:val="both"/>
        <w:ind w:right="46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products and decrease our ability to generate revenue.</w:t>
      </w:r>
    </w:p>
    <w:p>
      <w:pPr>
        <w:spacing w:after="0" w:line="52" w:lineRule="exact"/>
        <w:rPr>
          <w:sz w:val="20"/>
          <w:szCs w:val="20"/>
          <w:color w:val="auto"/>
        </w:rPr>
      </w:pPr>
    </w:p>
    <w:p>
      <w:pPr>
        <w:ind w:right="20" w:firstLine="636"/>
        <w:spacing w:after="0" w:line="247" w:lineRule="auto"/>
        <w:rPr>
          <w:sz w:val="20"/>
          <w:szCs w:val="20"/>
          <w:color w:val="auto"/>
        </w:rPr>
      </w:pPr>
      <w:r>
        <w:rPr>
          <w:rFonts w:ascii="Times New Roman" w:cs="Times New Roman" w:eastAsia="Times New Roman" w:hAnsi="Times New Roman"/>
          <w:sz w:val="18"/>
          <w:szCs w:val="18"/>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our product candidates, assuming FDA approval. Our ability to achieve acceptable levels of coverage and reimbursement for products by governmental authorities, private health insurers and other organizations will have an effect on our ability to successfully commercialize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Reimbursement by a third-party payor may depend upon a number of factors, including the third-party payor’s determination that a procedure is safe, effective and medically necessary; appropriate for the specific patient; cost effective; supported by peer-reviewed medical journals; included in clinical practice guidelines; and neither cosmetic, experimental, nor investigational. Assuming we obtain coverage for our product candidates by a third-party payor, the resulting reimbursement payment rates may not be adequate or may require co-payments that patients find unacceptably high. We cannot be sure that coverage and reimbursement in the United States, the European Union or elsewhere will be available for our product candidates or any product that we may develop, and any reimbursement that may become available may be decreased or eliminated in the future. Additionally, we or our collaborators may develop companion diagnostic tests for use with our product candidates. We or our collaborators will be required to obtain coverage and reimbursement for these tests separate and apart from the coverage and reimbursement we may seek for our product candidates.</w:t>
      </w:r>
    </w:p>
    <w:p>
      <w:pPr>
        <w:spacing w:after="0" w:line="92" w:lineRule="exact"/>
        <w:rPr>
          <w:sz w:val="20"/>
          <w:szCs w:val="20"/>
          <w:color w:val="auto"/>
        </w:rPr>
      </w:pPr>
    </w:p>
    <w:p>
      <w:pPr>
        <w:ind w:right="20" w:firstLine="636"/>
        <w:spacing w:after="0" w:line="251" w:lineRule="auto"/>
        <w:rPr>
          <w:sz w:val="20"/>
          <w:szCs w:val="20"/>
          <w:color w:val="auto"/>
        </w:rPr>
      </w:pPr>
      <w:r>
        <w:rPr>
          <w:rFonts w:ascii="Times New Roman" w:cs="Times New Roman" w:eastAsia="Times New Roman" w:hAnsi="Times New Roman"/>
          <w:sz w:val="18"/>
          <w:szCs w:val="18"/>
          <w:color w:val="auto"/>
        </w:rPr>
        <w:t>Similarly, a significant trend in the healthcare industry is cost containment. Third-party payors have attempted to control costs by limiting coverage and the amount of reimbursement for particular medications. As such, cost containment reform efforts may result in an adverse effect on our operations. Obtaining coverage and adequate reimbursement for our product candidates may be particularly difficult because of the higher prices often associated with drugs administered under the supervision of a physician. Similarly, because our product candidates will be physician-administered, separate reimbursement for the product itself may or may not be available. Instead, the administering physician may or may not be reimbursed for providing the treatment or procedure in which our product is used.</w:t>
      </w:r>
    </w:p>
    <w:p>
      <w:pPr>
        <w:spacing w:after="0" w:line="75"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68" w:lineRule="exact"/>
        <w:rPr>
          <w:sz w:val="20"/>
          <w:szCs w:val="20"/>
          <w:color w:val="auto"/>
        </w:rPr>
      </w:pPr>
    </w:p>
    <w:p>
      <w:pPr>
        <w:ind w:right="100" w:firstLine="636"/>
        <w:spacing w:after="0" w:line="274"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statutory, regulatory, and policy changes, the FDA’s ability to hire and retain key</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be cleared or approved biologics to be reviewed and/or approved by necessary government agencies, which would adversely affect our business. For example, over the last several years, the U.S. government has shut down several times and certain regulatory agencies, such as the FDA, have had to furlough FDA employees and stop critical activities.</w:t>
      </w:r>
    </w:p>
    <w:p>
      <w:pPr>
        <w:spacing w:after="0" w:line="79" w:lineRule="exact"/>
        <w:rPr>
          <w:sz w:val="20"/>
          <w:szCs w:val="20"/>
          <w:color w:val="auto"/>
        </w:rPr>
      </w:pPr>
    </w:p>
    <w:p>
      <w:pPr>
        <w:ind w:firstLine="636"/>
        <w:spacing w:after="0" w:line="248" w:lineRule="auto"/>
        <w:rPr>
          <w:sz w:val="20"/>
          <w:szCs w:val="20"/>
          <w:color w:val="auto"/>
        </w:rPr>
      </w:pPr>
      <w:r>
        <w:rPr>
          <w:rFonts w:ascii="Times New Roman" w:cs="Times New Roman" w:eastAsia="Times New Roman" w:hAnsi="Times New Roman"/>
          <w:sz w:val="18"/>
          <w:szCs w:val="18"/>
          <w:color w:val="auto"/>
        </w:rPr>
        <w:t>Separately, in response to the COVID-19 pandemic, in March 2020, the FDA announced its intention to postpone most inspections of foreign manufacturing facilities, and the FDA temporarily postponed routine surveillance inspections of domestic manufacturing facilities. In February 2022, the FDA resumed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Additionally, in April 2021, the FDA issued a guidance document in which the FDA described its plans to conduct voluntary remote interactive evaluations of certain drug manufacturing facilities and clinical research sites. According to the guidance, the FDA intends to request such remote interactive evaluations in situations where an in-person inspection would not be prioritized or deemed mission-critical, or where direct inspection is otherwise limited by travel restrictions, but where the FDA determines that remote evaluation would still be appropriate.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Intellectual Property</w:t>
      </w:r>
    </w:p>
    <w:p>
      <w:pPr>
        <w:spacing w:after="0" w:line="109" w:lineRule="exact"/>
        <w:rPr>
          <w:sz w:val="20"/>
          <w:szCs w:val="20"/>
          <w:color w:val="auto"/>
        </w:rPr>
      </w:pPr>
    </w:p>
    <w:p>
      <w:pPr>
        <w:ind w:right="120"/>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obtain and maintain sufficient intellectual property protection for our product candidates, or if the scope of the intellectual property protection is not sufficiently broad, our ability to commercialize our product candidates successfully and to compete effectively may be adversely affected.</w:t>
      </w:r>
    </w:p>
    <w:p>
      <w:pPr>
        <w:spacing w:after="0" w:line="31" w:lineRule="exact"/>
        <w:rPr>
          <w:sz w:val="20"/>
          <w:szCs w:val="20"/>
          <w:color w:val="auto"/>
        </w:rPr>
      </w:pPr>
    </w:p>
    <w:p>
      <w:pPr>
        <w:ind w:right="20" w:firstLine="636"/>
        <w:spacing w:after="0" w:line="251" w:lineRule="auto"/>
        <w:rPr>
          <w:sz w:val="20"/>
          <w:szCs w:val="20"/>
          <w:color w:val="auto"/>
        </w:rPr>
      </w:pPr>
      <w:r>
        <w:rPr>
          <w:rFonts w:ascii="Times New Roman" w:cs="Times New Roman" w:eastAsia="Times New Roman" w:hAnsi="Times New Roman"/>
          <w:sz w:val="18"/>
          <w:szCs w:val="18"/>
          <w:color w:val="auto"/>
        </w:rPr>
        <w:t>We rely upon a combination of patents, trademarks, trade secrets and confidentiality agreements to protect the intellectual property related to our technology and product candidates. We own or possess certain intellectual property, and other intellectual property are owned or possessed by our partners and are in-licensed to us. When we refer to “our” technologies, inventions, patents, patent applications or other intellectual property rights, we are referring to both the rights that we own or possess as well as those that we in-license, many of which are critical to our intellectual property protection and our business. If the intellectual property that we rely on is not adequately protected, competitors may be able to use our technologies and erode or negate any competitive advantage we may have.</w:t>
      </w:r>
    </w:p>
    <w:p>
      <w:pPr>
        <w:spacing w:after="0" w:line="79" w:lineRule="exact"/>
        <w:rPr>
          <w:sz w:val="20"/>
          <w:szCs w:val="20"/>
          <w:color w:val="auto"/>
        </w:rPr>
      </w:pPr>
    </w:p>
    <w:p>
      <w:pPr>
        <w:ind w:right="20" w:firstLine="636"/>
        <w:spacing w:after="0" w:line="249" w:lineRule="auto"/>
        <w:rPr>
          <w:sz w:val="20"/>
          <w:szCs w:val="20"/>
          <w:color w:val="auto"/>
        </w:rPr>
      </w:pPr>
      <w:r>
        <w:rPr>
          <w:rFonts w:ascii="Times New Roman" w:cs="Times New Roman" w:eastAsia="Times New Roman" w:hAnsi="Times New Roman"/>
          <w:sz w:val="18"/>
          <w:szCs w:val="18"/>
          <w:color w:val="auto"/>
        </w:rPr>
        <w:t>The patentability of inventions and the validity, enforceability and scope of patents in the biotechnology field is uncertain because it involves complex legal, scientific and factual considerations, and it has in recent years been the subject of significant litigation. Moreover, the standards applied by the U.S. Patent and Trademark Office (USPTO) and non-U.S. patent offices in granting patents are not always applied uniformly or predictably. There is also no assurance that all potentially relevant prior art relating to our patents and patent applications is known to us or has been found in the instances where searching was done. We may be unaware of prior art that could be used to invalidate an issued patent or prevent a pending patent application from issuing as a patent. There also may be prior art of which we are aware, but which we do not believe affects the validity, enforceability or patentability of a claim of one of our patents or patent applications, which may, nonetheless, ultimately be found to affect the validity, enforceability or patentability of such claim. As a consequence of these and other factors, our patent applications may fail to result in issued patents with claims that cover our product candidates in the United States or in other countries.</w:t>
      </w:r>
    </w:p>
    <w:p>
      <w:pPr>
        <w:spacing w:after="0" w:line="81" w:lineRule="exact"/>
        <w:rPr>
          <w:sz w:val="20"/>
          <w:szCs w:val="20"/>
          <w:color w:val="auto"/>
        </w:rPr>
      </w:pPr>
    </w:p>
    <w:p>
      <w:pPr>
        <w:ind w:firstLine="636"/>
        <w:spacing w:after="0" w:line="267" w:lineRule="auto"/>
        <w:rPr>
          <w:sz w:val="20"/>
          <w:szCs w:val="20"/>
          <w:color w:val="auto"/>
        </w:rPr>
      </w:pPr>
      <w:r>
        <w:rPr>
          <w:rFonts w:ascii="Times New Roman" w:cs="Times New Roman" w:eastAsia="Times New Roman" w:hAnsi="Times New Roman"/>
          <w:sz w:val="17"/>
          <w:szCs w:val="17"/>
          <w:color w:val="auto"/>
        </w:rPr>
        <w:t>Even if patents have issued or do successfully issue from patent applications, and even if these patents cover our product candidates, third parties may challenge the validity, enforceability or scope thereof, which may result in these patents being narrowed, invalidated or held to be unenforceable. No assurance can be given that if challenged, our patents would be declared by a court to be valid or enforceable. Even if unchallenged, our patents and patent applications or other intellectual property rights may not adequately protect our intellectual property, provide exclusivity for our product candidates or prevent others from designing around our claims. The possibility exists that others will develop products on an independent basis which have the same effect as our product candidates and which do not infringe our patents or other intellectual property rights, or that others will design around the claims of patents that we have had issued that cover our product candidates. If the breadth or strength of protection provided by our patents and patent applications with respect to</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our product candidates is threatened, it could jeopardize our ability to commercialize our product candidates and dissuade companies from collaborating with us.</w:t>
      </w:r>
    </w:p>
    <w:p>
      <w:pPr>
        <w:spacing w:after="0" w:line="57" w:lineRule="exact"/>
        <w:rPr>
          <w:sz w:val="20"/>
          <w:szCs w:val="20"/>
          <w:color w:val="auto"/>
        </w:rPr>
      </w:pPr>
    </w:p>
    <w:p>
      <w:pPr>
        <w:jc w:val="both"/>
        <w:ind w:right="40" w:firstLine="636"/>
        <w:spacing w:after="0" w:line="259" w:lineRule="auto"/>
        <w:rPr>
          <w:sz w:val="20"/>
          <w:szCs w:val="20"/>
          <w:color w:val="auto"/>
        </w:rPr>
      </w:pPr>
      <w:r>
        <w:rPr>
          <w:rFonts w:ascii="Times New Roman" w:cs="Times New Roman" w:eastAsia="Times New Roman" w:hAnsi="Times New Roman"/>
          <w:sz w:val="18"/>
          <w:szCs w:val="18"/>
          <w:color w:val="auto"/>
        </w:rPr>
        <w:t>We may also desire to seek licenses from third parties who own or have rights to intellectual property that may be useful for providing exclusivity for our product candidates, or for providing the ability to develop and commercialize a product candidate in an unrestricted manner. There is no guarantee that we will be able to obtain such licenses from third parties on commercially reasonable terms, or at all.</w:t>
      </w:r>
    </w:p>
    <w:p>
      <w:pPr>
        <w:spacing w:after="0" w:line="72" w:lineRule="exact"/>
        <w:rPr>
          <w:sz w:val="20"/>
          <w:szCs w:val="20"/>
          <w:color w:val="auto"/>
        </w:rPr>
      </w:pPr>
    </w:p>
    <w:p>
      <w:pPr>
        <w:ind w:right="80" w:firstLine="636"/>
        <w:spacing w:after="0" w:line="252" w:lineRule="auto"/>
        <w:rPr>
          <w:sz w:val="20"/>
          <w:szCs w:val="20"/>
          <w:color w:val="auto"/>
        </w:rPr>
      </w:pPr>
      <w:r>
        <w:rPr>
          <w:rFonts w:ascii="Times New Roman" w:cs="Times New Roman" w:eastAsia="Times New Roman" w:hAnsi="Times New Roman"/>
          <w:sz w:val="18"/>
          <w:szCs w:val="18"/>
          <w:color w:val="auto"/>
        </w:rPr>
        <w:t>In addition, the USPTO and various foreign governmental or inter-governmental patent agencies require compliance with a number of procedural, documentary, fee payment and other similar provisions during and after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irreversible loss of patent rights in the relevant jurisdiction. In such an event, our competitors might be able to enter the market, which could have a material adverse effect on our business.</w:t>
      </w:r>
    </w:p>
    <w:p>
      <w:pPr>
        <w:spacing w:after="0" w:line="79"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7"/>
          <w:szCs w:val="17"/>
          <w:color w:val="auto"/>
        </w:rPr>
        <w:t>United States patent applications containing or that at any time contained a claim not entitled to a priority date before March 16, 2013 are subject to the “first to file” system implemented by the America Invents Act (2011). The first to file system requires us to be cognizant going forward of the time from invention to filing of a patent application. Because patent applications in the U.S. and most other countries are confidential for a period of time after filing, and some remain so until issued, we cannot be certain that we or our partners were the first to file any patent application related to a product candidate.</w:t>
      </w:r>
    </w:p>
    <w:p>
      <w:pPr>
        <w:spacing w:after="0" w:line="61" w:lineRule="exact"/>
        <w:rPr>
          <w:sz w:val="20"/>
          <w:szCs w:val="20"/>
          <w:color w:val="auto"/>
        </w:rPr>
      </w:pPr>
    </w:p>
    <w:p>
      <w:pPr>
        <w:ind w:right="40" w:firstLine="636"/>
        <w:spacing w:after="0" w:line="249" w:lineRule="auto"/>
        <w:rPr>
          <w:sz w:val="20"/>
          <w:szCs w:val="20"/>
          <w:color w:val="auto"/>
        </w:rPr>
      </w:pPr>
      <w:r>
        <w:rPr>
          <w:rFonts w:ascii="Times New Roman" w:cs="Times New Roman" w:eastAsia="Times New Roman" w:hAnsi="Times New Roman"/>
          <w:sz w:val="18"/>
          <w:szCs w:val="18"/>
          <w:color w:val="auto"/>
        </w:rPr>
        <w:t>In addition, our registered or unregistered trademarks or trade names may be challenged, infringed or declared generic or determined to be infringing on other marks. We may not be able to protect our rights to these trademarks and trade names, which we view as valuable to building name recognition among potential partners and customers in our markets of interest. At times, competitors or other third parties have adopted or may adopt trade names or trademarks similar to ours, thereby impeding our ability to build brand identity and possibly leading to market confusion and/or litigation.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protect or defend our proprietary rights related to trademarks may be ineffective and could result in substantial costs and diversion of resources and could adversely affect our business, financial condition, results of operations and prospects.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lives of our patents may not be sufficient to effectively protect our products and business.</w:t>
      </w:r>
    </w:p>
    <w:p>
      <w:pPr>
        <w:spacing w:after="0" w:line="115" w:lineRule="exact"/>
        <w:rPr>
          <w:sz w:val="20"/>
          <w:szCs w:val="20"/>
          <w:color w:val="auto"/>
        </w:rPr>
      </w:pPr>
    </w:p>
    <w:p>
      <w:pPr>
        <w:ind w:right="20" w:firstLine="636"/>
        <w:spacing w:after="0" w:line="249" w:lineRule="auto"/>
        <w:rPr>
          <w:sz w:val="20"/>
          <w:szCs w:val="20"/>
          <w:color w:val="auto"/>
        </w:rPr>
      </w:pPr>
      <w:r>
        <w:rPr>
          <w:rFonts w:ascii="Times New Roman" w:cs="Times New Roman" w:eastAsia="Times New Roman" w:hAnsi="Times New Roman"/>
          <w:sz w:val="18"/>
          <w:szCs w:val="18"/>
          <w:color w:val="auto"/>
        </w:rPr>
        <w:t>Patents have a limited lifespan. In the United States, the natural expiration of a patent is generally 20 years after its first nonprovisional effective filing date. Although various extensions may be available, the life of a patent, and the protection it affords, is limited. Even if patents covering our product candidates are obtained, once the patent life has expired for a product, we may be open to competition from biosimilar or generic medications. In addition, although upon issuance in the United States a patent’s life can be increased based on certain delays caused by the USPTO, this increase can be reduced or eliminated based on certain delays caused by the patent applicant during patent prosecution. While the patent term of certain patents can also be extended with respect to a specific product to recapture time lost in clinical trials and regulatory review by the FDA, a patent’s life also can be shortened by a terminal disclaimer over an earlier filed patent or patent application. If we do not have sufficient patent life to protect our products, our business and results of operations will be adversely affected.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15" w:lineRule="exact"/>
        <w:rPr>
          <w:sz w:val="20"/>
          <w:szCs w:val="20"/>
          <w:color w:val="auto"/>
        </w:rPr>
      </w:pPr>
    </w:p>
    <w:p>
      <w:pPr>
        <w:ind w:right="20" w:firstLine="636"/>
        <w:spacing w:after="0" w:line="265" w:lineRule="auto"/>
        <w:rPr>
          <w:sz w:val="20"/>
          <w:szCs w:val="20"/>
          <w:color w:val="auto"/>
        </w:rPr>
      </w:pPr>
      <w:r>
        <w:rPr>
          <w:rFonts w:ascii="Times New Roman" w:cs="Times New Roman" w:eastAsia="Times New Roman" w:hAnsi="Times New Roman"/>
          <w:sz w:val="17"/>
          <w:szCs w:val="17"/>
          <w:color w:val="auto"/>
        </w:rPr>
        <w:t>Filing, prosecuting, enforcing and defending patents on all of our product candidates in all countries throughout the world would be prohibitively expensive. Our intellectual property rights in certain countries outside the United States may be less extensive than those in the United States. In addition, the laws of certain foreign countries do not protect intellectual property rights to the same extent as laws in the United States. Consequently, we and our partners may not be able to prevent third parties from practicing our inventions in countries outside the United States, or from selling or importing infringing products made using our inventions in other jurisdictions. Competitors may use our technologies in jurisdictions where we have not obtained patent protection or where we do not have exclusive rights under the relevant patents to develop their own products and, further, may export otherwise-infringing products to territories where we and our partners have patent protection but where enforcement is not as strong as that in the U.S. These infringing products may compete with our product candidates in jurisdictions where we or our partners have no issued patents or where we do not have exclusive rights under the relevant patents, or our patent claims and other intellectual property rights may not be effective or sufficient to prevent them from so competing.</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00" w:firstLine="636"/>
        <w:spacing w:after="0" w:line="249"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partners to stop the infringement of our patents or marketing of competing products in violation of our intellectual property rights generally. Proceedings to enforce our patent rights in foreign jurisdictions could result in substantial costs and divert our attention from other aspects of our business, could put our patents at risk of being invalidated or interpreted narrowly, could put our patent applications at risk of not issuing and could provoke third parties to assert claims against us or our partners. We or our partners may not prevail in any lawsuits that we or our licensors initiate, and even if we or our licensors are successful, the damages or other remedies awarded, if any, may not be commercially meaningful.</w:t>
      </w:r>
    </w:p>
    <w:p>
      <w:pPr>
        <w:spacing w:after="0" w:line="84" w:lineRule="exact"/>
        <w:rPr>
          <w:sz w:val="20"/>
          <w:szCs w:val="20"/>
          <w:color w:val="auto"/>
        </w:rPr>
      </w:pPr>
    </w:p>
    <w:p>
      <w:pPr>
        <w:ind w:right="200" w:firstLine="636"/>
        <w:spacing w:after="0" w:line="252"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we or our partners may have limited remedies, which could materially diminish the value of such patent. If we or our partners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75" w:lineRule="exact"/>
        <w:rPr>
          <w:sz w:val="20"/>
          <w:szCs w:val="20"/>
          <w:color w:val="auto"/>
        </w:rPr>
      </w:pPr>
    </w:p>
    <w:p>
      <w:pPr>
        <w:ind w:right="7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or misappropriating the intellectual property rights of third parties, the resulting litigation could be costly and time-consuming and could prevent or delay our development and commercialization efforts.</w:t>
      </w:r>
    </w:p>
    <w:p>
      <w:pPr>
        <w:spacing w:after="0" w:line="54" w:lineRule="exact"/>
        <w:rPr>
          <w:sz w:val="20"/>
          <w:szCs w:val="20"/>
          <w:color w:val="auto"/>
        </w:rPr>
      </w:pPr>
    </w:p>
    <w:p>
      <w:pPr>
        <w:ind w:right="40" w:firstLine="636"/>
        <w:spacing w:after="0" w:line="266" w:lineRule="auto"/>
        <w:rPr>
          <w:sz w:val="20"/>
          <w:szCs w:val="20"/>
          <w:color w:val="auto"/>
        </w:rPr>
      </w:pPr>
      <w:r>
        <w:rPr>
          <w:rFonts w:ascii="Times New Roman" w:cs="Times New Roman" w:eastAsia="Times New Roman" w:hAnsi="Times New Roman"/>
          <w:sz w:val="17"/>
          <w:szCs w:val="17"/>
          <w:color w:val="auto"/>
        </w:rPr>
        <w:t>Our commercial success depends, in part, on us and our partners not infringing the patents and proprietary rights of third parties. There is a substantial amount of litigation and other adversarial proceedings, both within and outside the United States, involving patent and other intellectual property rights in the biotechnology and pharmaceutical industries, including patent infringement lawsuits, interference or derivation proceedings, oppositions, and inter partes and post-grant review proceedings before the USPTO and non-U.S. patent offices. Numerous U.S. and non-U.S. issued patents and pending patent applications owned by third parties exist in the fields in which we are developing, and may develop, product candidates. As the biotechnology and pharmaceutical industries expand and more patents are issued, the risk increases that our product candidates may be subject to claims of infringement of third parties’ patent rights, as it may not always be clear to industry participants, including us, which patents cover various types of products, methods of making or methods of use. The coverage of patents is subject to interpretation by the courts, and the interpretation is not always uniform or predictable.</w:t>
      </w:r>
    </w:p>
    <w:p>
      <w:pPr>
        <w:spacing w:after="0" w:line="69" w:lineRule="exact"/>
        <w:rPr>
          <w:sz w:val="20"/>
          <w:szCs w:val="20"/>
          <w:color w:val="auto"/>
        </w:rPr>
      </w:pPr>
    </w:p>
    <w:p>
      <w:pPr>
        <w:ind w:right="40" w:firstLine="636"/>
        <w:spacing w:after="0" w:line="249" w:lineRule="auto"/>
        <w:rPr>
          <w:sz w:val="20"/>
          <w:szCs w:val="20"/>
          <w:color w:val="auto"/>
        </w:rPr>
      </w:pPr>
      <w:r>
        <w:rPr>
          <w:rFonts w:ascii="Times New Roman" w:cs="Times New Roman" w:eastAsia="Times New Roman" w:hAnsi="Times New Roman"/>
          <w:sz w:val="18"/>
          <w:szCs w:val="18"/>
          <w:color w:val="auto"/>
        </w:rPr>
        <w:t>Third parties may assert infringement or misappropriation claims against us based on existing or future intellectual property rights, alleging that we are employing their proprietary technology without authorization. There may be third-party patents or patent applications with claims to materials, formulations, methods of manufacture or methods for treatment related to the use or manufacturing of our product candidates that we failed to identify. For example, patent applications covering our product candidates could have been filed by others without our knowledge, since these applications generally remain confidential for some period of time after their filing date. Even pending patent applications that have been published, including some of which we are aware, could be later amended in a manner that could cover our product candidates or their use or manufacture. In addition, we may have analyzed patents or patent applications of third parties that we believe are relevant to our activities and believe that we are free to operate in relation to any of our product candidates, but our competitors may obtain issued claims, including in patents we consider to be unrelated, which may block our efforts or potentially result in any of our product candidates or our activities infringing their claims.</w:t>
      </w:r>
    </w:p>
    <w:p>
      <w:pPr>
        <w:spacing w:after="0" w:line="81" w:lineRule="exact"/>
        <w:rPr>
          <w:sz w:val="20"/>
          <w:szCs w:val="20"/>
          <w:color w:val="auto"/>
        </w:rPr>
      </w:pPr>
    </w:p>
    <w:p>
      <w:pPr>
        <w:ind w:firstLine="636"/>
        <w:spacing w:after="0" w:line="248" w:lineRule="auto"/>
        <w:rPr>
          <w:sz w:val="20"/>
          <w:szCs w:val="20"/>
          <w:color w:val="auto"/>
        </w:rPr>
      </w:pPr>
      <w:r>
        <w:rPr>
          <w:rFonts w:ascii="Times New Roman" w:cs="Times New Roman" w:eastAsia="Times New Roman" w:hAnsi="Times New Roman"/>
          <w:sz w:val="18"/>
          <w:szCs w:val="18"/>
          <w:color w:val="auto"/>
        </w:rPr>
        <w:t>If we or our partners are sued for patent infringement, we would need to demonstrate that our product candidates, products and methods either do not infringe the patent claims of the relevant patent or that the patent claims are invalid or unenforceable, and we may not be able to do this. Proving that a patent is invalid is difficult and even if we are successful in the relevant proceedings, we may incur substantial costs, and the time and attention of our management and scientific personnel could be diverted from other activities. If one or more claims of any issued third-party patents were held by a court of competent jurisdiction to cover aspects of our materials, formulations, methods of manufacture or methods for treatment, we could be forced, including by court order, to cease developing, manufacturing or commercializing the relevant product candidate until the relevant patent expired. Alternatively, we may desire or be required to obtain a license from such third party in order to use the infringing technology and to continue developing, manufacturing or marketing the infringing product candidate. However, we may not be able to obtain any required license on commercially reasonably terms, or at all. Even if we were able to obtain a license, the rights may be nonexclusive, which could result in our competitors gaining access to the same intellectual property licensed to us. If we are unable to obtain a necessary license on commercially reasonable terms, or at all, our ability to commercialize our product candidates may be impaired or delayed, which could in turn significantly harm our business.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face claims that we misappropriated the confidential information or trade secrets of a third party. If we are found to have misappropriated a third-party’s trade secrets, we may be prevented from further using these trade secrets, which could limit our ability to develop our product candidates.</w:t>
      </w:r>
    </w:p>
    <w:p>
      <w:pPr>
        <w:spacing w:after="0" w:line="54" w:lineRule="exact"/>
        <w:rPr>
          <w:sz w:val="20"/>
          <w:szCs w:val="20"/>
          <w:color w:val="auto"/>
        </w:rPr>
      </w:pPr>
    </w:p>
    <w:p>
      <w:pPr>
        <w:ind w:right="20" w:firstLine="636"/>
        <w:spacing w:after="0" w:line="264" w:lineRule="auto"/>
        <w:rPr>
          <w:sz w:val="20"/>
          <w:szCs w:val="20"/>
          <w:color w:val="auto"/>
        </w:rPr>
      </w:pPr>
      <w:r>
        <w:rPr>
          <w:rFonts w:ascii="Times New Roman" w:cs="Times New Roman" w:eastAsia="Times New Roman" w:hAnsi="Times New Roman"/>
          <w:sz w:val="17"/>
          <w:szCs w:val="17"/>
          <w:color w:val="auto"/>
        </w:rPr>
        <w:t>Defending against intellectual property claims, regardless of their merit, could be costly and time consuming, regardless of the outcome. Thus, even if we were to ultimately prevail, or to settle before a final judgment, any litigation could burden us with substantial unanticipated costs. In addition, litigation or threatened litigation could result in significant demands on the time and attention of our management team, distracting them from the pursuit of other company business. During the course of any intellectual property litigation, there could be public announcements of the results of hearings, rulings on motions and other interim proceedings in the litigation and these announcements may have negative impact on the perceived value of our product candidates, programs or intellectual property. In the event of a successful intellectual property claim against us, we may have to pay substantial damages, including treble damages and attorneys’ fees if we are found to have willfully infringed a patent, or to redesign our infringing product candidates, which may be impossible or require substantial time and monetary expenditure. In addition to paying monetary damages, we may lose valuable intellectual property rights or personnel, and the parties making claims against us may obtain injunctive or other equitable relief, which could impose limitations on the conduct of our business. We may also elect to enter into license agreements in order to settle patent infringement claims prior to litigation, and any of these license agreements may require us to pay royalties and other fees that could be significant. As a result of all of the foregoing, any actual or threatened intellectual property claim could prevent us from developing or commercializing a product candidate or force us to cease some aspect of our business operations.</w:t>
      </w:r>
    </w:p>
    <w:p>
      <w:pPr>
        <w:spacing w:after="0" w:line="66"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in-licensed a significant portion of our intellectual property from our partners. If we breach any of our license agreements with these partners, we could potentially lose the ability to continue the development and potential commercialization of one or more of our product candidates.</w:t>
      </w:r>
    </w:p>
    <w:p>
      <w:pPr>
        <w:spacing w:after="0" w:line="54" w:lineRule="exact"/>
        <w:rPr>
          <w:sz w:val="20"/>
          <w:szCs w:val="20"/>
          <w:color w:val="auto"/>
        </w:rPr>
      </w:pPr>
    </w:p>
    <w:p>
      <w:pPr>
        <w:ind w:firstLine="636"/>
        <w:spacing w:after="0" w:line="265" w:lineRule="auto"/>
        <w:rPr>
          <w:sz w:val="20"/>
          <w:szCs w:val="20"/>
          <w:color w:val="auto"/>
        </w:rPr>
      </w:pPr>
      <w:r>
        <w:rPr>
          <w:rFonts w:ascii="Times New Roman" w:cs="Times New Roman" w:eastAsia="Times New Roman" w:hAnsi="Times New Roman"/>
          <w:sz w:val="17"/>
          <w:szCs w:val="17"/>
          <w:color w:val="auto"/>
        </w:rPr>
        <w:t>We hold rights under license agreements with our partners. Our discovery and development technology platforms are built, in part, around intellectual property rights in-licensed from our partners. Under our existing license agreements, we are subject to various obligations, which may include diligence obligations with respect to development and commercialization activities, payment obligations upon achievement of certain milestones and royalties on product sales. If there is any conflict, dispute, disagreement or issue of nonperformance between us and our counterparties regarding our rights or obligations under these license agreements, including any conflict, dispute or disagreement arising from our failure to satisfy diligence or payment obligations, we may be liable to pay damages and our counterparties may have a right to terminate the affected license. The termination of any license agreement with one of our partners could adversely affect our ability to utilize the intellectual property that is subject to that license agreement in our discovery and development efforts, our ability to enter into future collaboration, licensing and/or marketing agreements for one or more affected product candidates and our ability to commercialize the affected product candidates. Furthermore, disagreements under any of these license agreements may arise, including those related to:</w:t>
      </w:r>
    </w:p>
    <w:p>
      <w:pPr>
        <w:spacing w:after="0" w:line="71" w:lineRule="exact"/>
        <w:rPr>
          <w:sz w:val="20"/>
          <w:szCs w:val="20"/>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1" w:lineRule="exact"/>
        <w:rPr>
          <w:rFonts w:ascii="Times New Roman" w:cs="Times New Roman" w:eastAsia="Times New Roman" w:hAnsi="Times New Roman"/>
          <w:sz w:val="18"/>
          <w:szCs w:val="18"/>
          <w:color w:val="auto"/>
        </w:rPr>
      </w:pPr>
    </w:p>
    <w:p>
      <w:pPr>
        <w:ind w:left="640" w:right="10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may infringe on intellectual property of the licensor that is not subject to the licensing agreement;</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 and</w:t>
      </w:r>
    </w:p>
    <w:p>
      <w:pPr>
        <w:spacing w:after="0" w:line="111" w:lineRule="exact"/>
        <w:rPr>
          <w:rFonts w:ascii="Times New Roman" w:cs="Times New Roman" w:eastAsia="Times New Roman" w:hAnsi="Times New Roman"/>
          <w:sz w:val="18"/>
          <w:szCs w:val="18"/>
          <w:color w:val="auto"/>
        </w:rPr>
      </w:pPr>
    </w:p>
    <w:p>
      <w:pPr>
        <w:ind w:left="640" w:right="200" w:hanging="316"/>
        <w:spacing w:after="0" w:line="366"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 These disagreements may harm our relationship with the partner, which could have negative impacts on other aspects of our business.</w:t>
      </w:r>
    </w:p>
    <w:p>
      <w:pPr>
        <w:spacing w:after="0" w:line="1" w:lineRule="exact"/>
        <w:rPr>
          <w:sz w:val="20"/>
          <w:szCs w:val="20"/>
          <w:color w:val="auto"/>
        </w:rPr>
      </w:pPr>
    </w:p>
    <w:p>
      <w:pPr>
        <w:ind w:right="5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54" w:lineRule="exact"/>
        <w:rPr>
          <w:sz w:val="20"/>
          <w:szCs w:val="20"/>
          <w:color w:val="auto"/>
        </w:rPr>
      </w:pPr>
    </w:p>
    <w:p>
      <w:pPr>
        <w:ind w:right="160" w:firstLine="636"/>
        <w:spacing w:after="0" w:line="259" w:lineRule="auto"/>
        <w:rPr>
          <w:sz w:val="20"/>
          <w:szCs w:val="20"/>
          <w:color w:val="auto"/>
        </w:rPr>
      </w:pPr>
      <w:r>
        <w:rPr>
          <w:rFonts w:ascii="Times New Roman" w:cs="Times New Roman" w:eastAsia="Times New Roman" w:hAnsi="Times New Roman"/>
          <w:sz w:val="18"/>
          <w:szCs w:val="18"/>
          <w:color w:val="auto"/>
        </w:rPr>
        <w:t>Presently we have rights to the intellectual property, through licenses from third parties and under patent applications that we own or will own, to develop our product candidates. Because our programs may involve additional product candidates that may require the use of proprietary rights held by third parties, the growth of our business will likely depend in part on our ability to acquire, in-license or use these proprietary rights.</w:t>
      </w:r>
    </w:p>
    <w:p>
      <w:pPr>
        <w:spacing w:after="0" w:line="72" w:lineRule="exact"/>
        <w:rPr>
          <w:sz w:val="20"/>
          <w:szCs w:val="20"/>
          <w:color w:val="auto"/>
        </w:rPr>
      </w:pPr>
    </w:p>
    <w:p>
      <w:pPr>
        <w:jc w:val="both"/>
        <w:ind w:right="100" w:firstLine="636"/>
        <w:spacing w:after="0" w:line="255" w:lineRule="auto"/>
        <w:rPr>
          <w:sz w:val="20"/>
          <w:szCs w:val="20"/>
          <w:color w:val="auto"/>
        </w:rPr>
      </w:pPr>
      <w:r>
        <w:rPr>
          <w:rFonts w:ascii="Times New Roman" w:cs="Times New Roman" w:eastAsia="Times New Roman" w:hAnsi="Times New Roman"/>
          <w:sz w:val="18"/>
          <w:szCs w:val="18"/>
          <w:color w:val="auto"/>
        </w:rPr>
        <w:t>Our product candidates may also require specific formulations, manufacturing methods or technologies to work effectively and efficiently, and these rights may be held by others. We may be unable to acquire or in-license any compositions, methods of use, processes or other third-party intellectual property rights from third parties that we identify. We may fail to obtain any of these licenses at a reasonable cost or on reasonable terms; such failure would harm our business. Even if we are able to obtain a license, it may be non-exclusive, thereby giving our competitors access to the</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same technologies licensed to us. In that event, we may be required to expend significant time and resources to develop or license replacement technology. We may need to cease use of the compositions or methods covered by such third-party intellectual property rights.</w:t>
      </w:r>
    </w:p>
    <w:p>
      <w:pPr>
        <w:spacing w:after="0" w:line="57" w:lineRule="exact"/>
        <w:rPr>
          <w:sz w:val="20"/>
          <w:szCs w:val="20"/>
          <w:color w:val="auto"/>
        </w:rPr>
      </w:pPr>
    </w:p>
    <w:p>
      <w:pPr>
        <w:jc w:val="both"/>
        <w:ind w:right="300" w:firstLine="636"/>
        <w:spacing w:after="0" w:line="255"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w:t>
      </w: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68" w:lineRule="exact"/>
        <w:rPr>
          <w:sz w:val="20"/>
          <w:szCs w:val="20"/>
          <w:color w:val="auto"/>
        </w:rPr>
      </w:pPr>
    </w:p>
    <w:p>
      <w:pPr>
        <w:ind w:firstLine="636"/>
        <w:spacing w:after="0" w:line="263" w:lineRule="auto"/>
        <w:rPr>
          <w:sz w:val="20"/>
          <w:szCs w:val="20"/>
          <w:color w:val="auto"/>
        </w:rPr>
      </w:pPr>
      <w:r>
        <w:rPr>
          <w:rFonts w:ascii="Times New Roman" w:cs="Times New Roman" w:eastAsia="Times New Roman" w:hAnsi="Times New Roman"/>
          <w:sz w:val="17"/>
          <w:szCs w:val="17"/>
          <w:color w:val="auto"/>
        </w:rPr>
        <w:t>We have acquired or licensed, or may require in the future, intellectual property rights that have been generated through the use of U.S. government funding or grant.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71"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w:t>
      </w:r>
    </w:p>
    <w:p>
      <w:pPr>
        <w:spacing w:after="0" w:line="54" w:lineRule="exact"/>
        <w:rPr>
          <w:sz w:val="20"/>
          <w:szCs w:val="20"/>
          <w:color w:val="auto"/>
        </w:rPr>
      </w:pPr>
    </w:p>
    <w:p>
      <w:pPr>
        <w:ind w:firstLine="636"/>
        <w:spacing w:after="0" w:line="248" w:lineRule="auto"/>
        <w:rPr>
          <w:sz w:val="20"/>
          <w:szCs w:val="20"/>
          <w:color w:val="auto"/>
        </w:rPr>
      </w:pPr>
      <w:r>
        <w:rPr>
          <w:rFonts w:ascii="Times New Roman" w:cs="Times New Roman" w:eastAsia="Times New Roman" w:hAnsi="Times New Roman"/>
          <w:sz w:val="18"/>
          <w:szCs w:val="18"/>
          <w:color w:val="auto"/>
        </w:rPr>
        <w:t>Third parties may infringe our patents or misappropriate or otherwise violate our intellectual property rights. Our patent applications cannot be enforced against third parties practicing the technology claimed in these applications unless and until a patent issues from the applications, and then only to the extent the issued claims cover the technology. In the future, we or our partners may elect to initiate legal proceedings to enforce or defend our or our partners’ intellectual property rights, to protect our or our partners’ trade secrets or to determine the validity or scope of our intellectual property rights. Any claims that we or our partners assert against perceived infringers could also provoke these parties to assert counterclaims against us or our partners alleging that we or our partners infringe their intellectual property rights or that our intellectual property rights are invalid. In patent litigation in the United States, defendant counterclaims alleging noninfringement, invalidity and/or unenforceability are commonplace, and there are numerous grounds upon which a third party can assert noninfringement, invalidity or unenforceability of a patent. The outcome following legal assertions of noninfringement, unpatentability, invalidity and unenforceability is unpredictable. With respect to the validity of patent rights, for example, we cannot be certain that there is no invalidating prior art, of which we, our patent counsel and the patent examiner were unaware during prosecution. If a defendant were to prevail on a legal assertion of unpatentability, invalidity and/or unenforceability, we would lose at least part, and perhaps all, of the patent protection on our product candidates. Such a loss of patent protection could have a material adverse impact on our business.</w:t>
      </w:r>
    </w:p>
    <w:p>
      <w:pPr>
        <w:spacing w:after="0" w:line="83" w:lineRule="exact"/>
        <w:rPr>
          <w:sz w:val="20"/>
          <w:szCs w:val="20"/>
          <w:color w:val="auto"/>
        </w:rPr>
      </w:pPr>
    </w:p>
    <w:p>
      <w:pPr>
        <w:ind w:right="20" w:firstLine="636"/>
        <w:spacing w:after="0" w:line="267" w:lineRule="auto"/>
        <w:rPr>
          <w:sz w:val="20"/>
          <w:szCs w:val="20"/>
          <w:color w:val="auto"/>
        </w:rPr>
      </w:pPr>
      <w:r>
        <w:rPr>
          <w:rFonts w:ascii="Times New Roman" w:cs="Times New Roman" w:eastAsia="Times New Roman" w:hAnsi="Times New Roman"/>
          <w:sz w:val="17"/>
          <w:szCs w:val="17"/>
          <w:color w:val="auto"/>
        </w:rPr>
        <w:t>Interference, derivation or opposition proceedings provoked by third parties, brought by us or our partners, or brought by the USPTO or any non-U.S. patent authority, may be necessary to determine the priority of inventions or matters of inventorship with respect to our patents or patent applications. We or our partners may also become involved in other proceedings, such as reexamination or opposition proceedings, inter partes review, post-grant review or other pre-issuance or post-grant proceedings in the USPTO or its foreign counterparts relating to our intellectual property or the intellectual property of others. Such proceedings could result in revocation or amendment to our patents in such a way that they no longer cover and protect our product candidates. An unfavorable outcome in any of these proceedings could require us or our partners to cease using the related technology and commercializing our product candidates, or to attempt to license rights to it from the prevailing party. Our business could be harmed if the prevailing party does not offer us or our</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partners a license on commercially reasonable terms if any license is offered at all. Even if we or our licensors obtain a license, it may be non-exclusive, thereby giving our competitors access to the same technologies licensed to us or our licensors.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74" w:lineRule="exact"/>
        <w:rPr>
          <w:sz w:val="20"/>
          <w:szCs w:val="20"/>
          <w:color w:val="auto"/>
        </w:rPr>
      </w:pPr>
    </w:p>
    <w:p>
      <w:pPr>
        <w:ind w:right="20" w:firstLine="636"/>
        <w:spacing w:after="0" w:line="266" w:lineRule="auto"/>
        <w:rPr>
          <w:sz w:val="20"/>
          <w:szCs w:val="20"/>
          <w:color w:val="auto"/>
        </w:rPr>
      </w:pPr>
      <w:r>
        <w:rPr>
          <w:rFonts w:ascii="Times New Roman" w:cs="Times New Roman" w:eastAsia="Times New Roman" w:hAnsi="Times New Roman"/>
          <w:sz w:val="17"/>
          <w:szCs w:val="17"/>
          <w:color w:val="auto"/>
        </w:rPr>
        <w:t>Any intellectual property proceedings can be expensive and time-consuming. Our or our partners’ adversaries in these proceedings may have the ability to dedicate substantially greater resources to prosecuting these legal actions than we or our partners can. Accordingly, despite our or our partners’ efforts, we or our partners may not be able to prevent third parties from infringing upon or misappropriating our intellectual property rights, particularly in countries where the laws may not protect our rights as fully as in the U.S. Even if we are successful in the relevant proceedings, we may incur substantial costs, and the time and attention of our management and scientific personnel could be diverted from other activities. In addition, in an infringement proceeding, a court may decide that one or more of our patents is invalid or unenforceable, in whole or in part, may refuse to stop the other party from using the technology at issue on the grounds that our patents do not cover the technology in question and/or may require us to pay the other party attorneys’ fees. An adverse result in any litigation proceeding could put one or more of our patents at risk of being invalidated, held unenforceable or interpreted narrowly.</w:t>
      </w:r>
    </w:p>
    <w:p>
      <w:pPr>
        <w:spacing w:after="0" w:line="69" w:lineRule="exact"/>
        <w:rPr>
          <w:sz w:val="20"/>
          <w:szCs w:val="20"/>
          <w:color w:val="auto"/>
        </w:rPr>
      </w:pPr>
    </w:p>
    <w:p>
      <w:pPr>
        <w:ind w:right="40" w:firstLine="636"/>
        <w:spacing w:after="0" w:line="259"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15" w:lineRule="exact"/>
        <w:rPr>
          <w:sz w:val="20"/>
          <w:szCs w:val="20"/>
          <w:color w:val="auto"/>
        </w:rPr>
      </w:pPr>
    </w:p>
    <w:p>
      <w:pPr>
        <w:ind w:right="80" w:firstLine="636"/>
        <w:spacing w:after="0" w:line="251" w:lineRule="auto"/>
        <w:rPr>
          <w:sz w:val="20"/>
          <w:szCs w:val="20"/>
          <w:color w:val="auto"/>
        </w:rPr>
      </w:pPr>
      <w:r>
        <w:rPr>
          <w:rFonts w:ascii="Times New Roman" w:cs="Times New Roman" w:eastAsia="Times New Roman" w:hAnsi="Times New Roman"/>
          <w:sz w:val="18"/>
          <w:szCs w:val="18"/>
          <w:color w:val="auto"/>
        </w:rPr>
        <w:t>We may in the future be subject to claims that former employees, collaborators, or other third parties have an interest in our patents or other intellectual property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75"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and other proprietary information, the value of our technology could be adversely affected and our business could be harmed.</w:t>
      </w:r>
    </w:p>
    <w:p>
      <w:pPr>
        <w:spacing w:after="0" w:line="54" w:lineRule="exact"/>
        <w:rPr>
          <w:sz w:val="20"/>
          <w:szCs w:val="20"/>
          <w:color w:val="auto"/>
        </w:rPr>
      </w:pPr>
    </w:p>
    <w:p>
      <w:pPr>
        <w:ind w:right="320" w:firstLine="636"/>
        <w:spacing w:after="0" w:line="251" w:lineRule="auto"/>
        <w:rPr>
          <w:sz w:val="20"/>
          <w:szCs w:val="20"/>
          <w:color w:val="auto"/>
        </w:rPr>
      </w:pPr>
      <w:r>
        <w:rPr>
          <w:rFonts w:ascii="Times New Roman" w:cs="Times New Roman" w:eastAsia="Times New Roman" w:hAnsi="Times New Roman"/>
          <w:sz w:val="18"/>
          <w:szCs w:val="18"/>
          <w:color w:val="auto"/>
        </w:rPr>
        <w:t>In addition to seeking the protection afforded by patents, we rely on trade secret protection and confidentiality agreements to protect proprietary know-how that is not patentable or that we elect not to patent, processes for which patents are difficult to enforce and other elements of our technology, discovery and development processes that involve proprietary know-how, information or technology that is not covered by patents. Any disclosure to or misappropriation by third parties of our confidential proprietary information could enable competitors to quickly duplicate or surpass our technological achievements, including by enabling them to develop and commercialize products substantially similar to or competitive with our product candidates, thus eroding our competitive position in the market.</w:t>
      </w:r>
    </w:p>
    <w:p>
      <w:pPr>
        <w:spacing w:after="0" w:line="79" w:lineRule="exact"/>
        <w:rPr>
          <w:sz w:val="20"/>
          <w:szCs w:val="20"/>
          <w:color w:val="auto"/>
        </w:rPr>
      </w:pPr>
    </w:p>
    <w:p>
      <w:pPr>
        <w:ind w:right="220" w:firstLine="636"/>
        <w:spacing w:after="0" w:line="267" w:lineRule="auto"/>
        <w:rPr>
          <w:sz w:val="20"/>
          <w:szCs w:val="20"/>
          <w:color w:val="auto"/>
        </w:rPr>
      </w:pPr>
      <w:r>
        <w:rPr>
          <w:rFonts w:ascii="Times New Roman" w:cs="Times New Roman" w:eastAsia="Times New Roman" w:hAnsi="Times New Roman"/>
          <w:sz w:val="17"/>
          <w:szCs w:val="17"/>
          <w:color w:val="auto"/>
        </w:rPr>
        <w:t>Trade secrets can be difficult to protect. We seek to protect our proprietary, confidential technology and processes, in part, by entering into confidentiality agreements and invention assignment agreements with our employees, consultants and outside scientific advisors, contractors and collaborators. These agreements are designed to protect our proprietary information. Although we use reasonable efforts to protect our trade secrets, our employees, consultants, contractors, or outside scientific advisors might intentionally or inadvertently disclose our trade secrets or confidential, proprietary information to competitors. In addition, competitors may otherwise gain access to our trade secrets or independently develop substantially equivalent information and techniques. If any of our confidential proprietary information were to be lawfully obtained or independently developed by a competitor, we would have no right to prevent such competitor from using that technology or information to compete with us, which could harm our competitive position.</w:t>
      </w:r>
    </w:p>
    <w:p>
      <w:pPr>
        <w:spacing w:after="0" w:line="68" w:lineRule="exact"/>
        <w:rPr>
          <w:sz w:val="20"/>
          <w:szCs w:val="20"/>
          <w:color w:val="auto"/>
        </w:rPr>
      </w:pPr>
    </w:p>
    <w:p>
      <w:pPr>
        <w:ind w:right="60" w:firstLine="636"/>
        <w:spacing w:after="0" w:line="255" w:lineRule="auto"/>
        <w:rPr>
          <w:sz w:val="20"/>
          <w:szCs w:val="20"/>
          <w:color w:val="auto"/>
        </w:rPr>
      </w:pPr>
      <w:r>
        <w:rPr>
          <w:rFonts w:ascii="Times New Roman" w:cs="Times New Roman" w:eastAsia="Times New Roman" w:hAnsi="Times New Roman"/>
          <w:sz w:val="18"/>
          <w:szCs w:val="18"/>
          <w:color w:val="auto"/>
        </w:rPr>
        <w:t>Enforcing a claim that a third party illegally obtained and is using any of our trade secrets is expensive and time consuming, and the outcome is unpredictable. In addition, the laws of certain foreign countries do not protect proprietary rights such as trade secrets to the same extent or in the same manner as the laws of the U.S. Misappropriation or unauthorized disclosure of our trade secrets to third parties could impair our competitive advantage in the market and could adversely affect our business, results of operations and financial condition.</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breached non-compete or non-solicit obligations and/or wrongfully used or disclosed confidential information of third parties.</w:t>
      </w:r>
    </w:p>
    <w:p>
      <w:pPr>
        <w:spacing w:after="0" w:line="54" w:lineRule="exact"/>
        <w:rPr>
          <w:sz w:val="20"/>
          <w:szCs w:val="20"/>
          <w:color w:val="auto"/>
        </w:rPr>
      </w:pPr>
    </w:p>
    <w:p>
      <w:pPr>
        <w:ind w:firstLine="636"/>
        <w:spacing w:after="0" w:line="269" w:lineRule="auto"/>
        <w:rPr>
          <w:sz w:val="20"/>
          <w:szCs w:val="20"/>
          <w:color w:val="auto"/>
        </w:rPr>
      </w:pPr>
      <w:r>
        <w:rPr>
          <w:rFonts w:ascii="Times New Roman" w:cs="Times New Roman" w:eastAsia="Times New Roman" w:hAnsi="Times New Roman"/>
          <w:sz w:val="17"/>
          <w:szCs w:val="17"/>
          <w:color w:val="auto"/>
        </w:rPr>
        <w:t>We have received confidential and proprietary information from third parties. In addition, we employ individuals who were previously employed at other biotechnology or pharmaceutical companies. We may be subject to claims that we or our employees, consultants or independent contractors have inadvertently or otherwise breached non-compete or non-solicit obligations with respect to such individuals’ prior employers, or used or disclosed confidential information of these third parties or such individuals’ former employers. Dealing with such claims and negotiating with potential claimants could result in substantial cost and be a distraction to our management and employees. In addition, litigation may be necessary to defend against these claims, and even if we are successful in defending against these claims, such litigation could result in further costs to us and distraction to our management and employees.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09"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amended and restated certificate of incorporation and bylaws might discourage, delay or prevent a change in control of our company or changes in our management and, therefore, depress the trading price of our common stock.</w:t>
      </w:r>
    </w:p>
    <w:p>
      <w:pPr>
        <w:spacing w:after="0" w:line="54" w:lineRule="exact"/>
        <w:rPr>
          <w:sz w:val="20"/>
          <w:szCs w:val="20"/>
          <w:color w:val="auto"/>
        </w:rPr>
      </w:pPr>
    </w:p>
    <w:p>
      <w:pPr>
        <w:ind w:firstLine="636"/>
        <w:spacing w:after="0" w:line="255"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organizational documents:</w:t>
      </w:r>
    </w:p>
    <w:p>
      <w:pPr>
        <w:spacing w:after="0" w:line="74" w:lineRule="exact"/>
        <w:rPr>
          <w:sz w:val="20"/>
          <w:szCs w:val="20"/>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Class I, Class II and Class III, with each class serving staggered three-year terms;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cumulative voting in the election of directors;</w:t>
      </w:r>
    </w:p>
    <w:p>
      <w:pPr>
        <w:spacing w:after="0" w:line="111" w:lineRule="exact"/>
        <w:rPr>
          <w:rFonts w:ascii="Times New Roman" w:cs="Times New Roman" w:eastAsia="Times New Roman" w:hAnsi="Times New Roman"/>
          <w:sz w:val="18"/>
          <w:szCs w:val="18"/>
          <w:color w:val="auto"/>
        </w:rPr>
      </w:pPr>
    </w:p>
    <w:p>
      <w:pPr>
        <w:ind w:left="640" w:right="120" w:hanging="316"/>
        <w:spacing w:after="0" w:line="274"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shares of preferred stock and determine the price and other terms of those shares, including preferences and voting rights, without stockholder approval;</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stockholders to take actions only at a duly called annual or special meeting and not by unanimous written consent;</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calling a special meeting of stockholders;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stockholders give advance notice to nominate directors or submit proposals for consideration at stockholder meetings;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by a majority vote, to amend certain provisions of the bylaws;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the affirmative vote of at least 66 2/3% or more of the outstanding shares of common stock to amend many of the provisions described above.</w:t>
      </w:r>
    </w:p>
    <w:p>
      <w:pPr>
        <w:spacing w:after="0" w:line="123" w:lineRule="exact"/>
        <w:rPr>
          <w:sz w:val="20"/>
          <w:szCs w:val="20"/>
          <w:color w:val="auto"/>
        </w:rPr>
      </w:pPr>
    </w:p>
    <w:p>
      <w:pPr>
        <w:ind w:right="100" w:firstLine="636"/>
        <w:spacing w:after="0" w:line="255"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(DGCL) prohibits a publicly-held Delaware corporation from engaging in a business combination with an interested stockholder, which is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4" w:lineRule="exact"/>
        <w:rPr>
          <w:sz w:val="20"/>
          <w:szCs w:val="20"/>
          <w:color w:val="auto"/>
        </w:rPr>
      </w:pPr>
    </w:p>
    <w:p>
      <w:pPr>
        <w:ind w:right="20" w:firstLine="636"/>
        <w:spacing w:after="0" w:line="259"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in writing to the selection of an alternative forum, the Court of</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Chancery of the State of Delaware will be the exclusive forum for the following types of actions or proceedings under Delaware statutory or common law:</w:t>
      </w:r>
    </w:p>
    <w:p>
      <w:pPr>
        <w:spacing w:after="0" w:line="92" w:lineRule="exact"/>
        <w:rPr>
          <w:sz w:val="20"/>
          <w:szCs w:val="20"/>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1" w:lineRule="exact"/>
        <w:rPr>
          <w:rFonts w:ascii="Times New Roman" w:cs="Times New Roman" w:eastAsia="Times New Roman" w:hAnsi="Times New Roman"/>
          <w:sz w:val="18"/>
          <w:szCs w:val="18"/>
          <w:color w:val="auto"/>
        </w:rPr>
      </w:pPr>
    </w:p>
    <w:p>
      <w:pPr>
        <w:ind w:left="640" w:right="440" w:hanging="316"/>
        <w:spacing w:after="0" w:line="274"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of our directors, officers or other employees, or stockholders to us or our stockholders;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asserting a claim arising pursuant to any provision of the DGCL or our amended and restated certificate of incorporation and bylaws; and</w:t>
      </w:r>
    </w:p>
    <w:p>
      <w:pPr>
        <w:spacing w:after="0" w:line="122"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governed by the internal affairs doctrine.</w:t>
      </w:r>
    </w:p>
    <w:p>
      <w:pPr>
        <w:spacing w:after="0" w:line="111" w:lineRule="exact"/>
        <w:rPr>
          <w:sz w:val="20"/>
          <w:szCs w:val="20"/>
          <w:color w:val="auto"/>
        </w:rPr>
      </w:pPr>
    </w:p>
    <w:p>
      <w:pPr>
        <w:ind w:firstLine="636"/>
        <w:spacing w:after="0" w:line="248" w:lineRule="auto"/>
        <w:rPr>
          <w:sz w:val="20"/>
          <w:szCs w:val="20"/>
          <w:color w:val="auto"/>
        </w:rPr>
      </w:pPr>
      <w:r>
        <w:rPr>
          <w:rFonts w:ascii="Times New Roman" w:cs="Times New Roman" w:eastAsia="Times New Roman" w:hAnsi="Times New Roman"/>
          <w:sz w:val="18"/>
          <w:szCs w:val="18"/>
          <w:color w:val="auto"/>
        </w:rPr>
        <w:t>Furthermore, to prevent having to litigate claims in multiple jurisdictions and the threat of inconsistent or contrary rulings by different courts, among other considerations, our amended and restated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of 1933, as amended (Securities Act). However, these provisions would not apply to suits brought to enforce a duty or liability created by the Exchange Act or any other claim for which the federal courts have exclusive jurisdiction. Any person purchasing or otherwise acquiring or holding any interest in shares of our capital stock is deemed to have received notice of and consented to the foregoing provisions. These choice of forum provisions may limit a stockholder’s ability to bring a claim in a judicial forum that it finds more favorable for disputes with us or with our directors, officers, other employees or agents or our other stockholders, which may discourage such lawsuits against us and such other persons, or may result in additional expense to a stockholder seeking to bring a claim against us.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w:t>
      </w:r>
    </w:p>
    <w:p>
      <w:pPr>
        <w:spacing w:after="0" w:line="81"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identified a material weakness in our internal control over financial reporting. If we identify additional material weaknesses in the future or otherwise fail to maintain effective internal control over financial reporting, we may not be able to accurately or timely report our financial condition or results of operations, which may significantly harm our business and the value of our common stock.</w:t>
      </w:r>
    </w:p>
    <w:p>
      <w:pPr>
        <w:spacing w:after="0" w:line="68" w:lineRule="exact"/>
        <w:rPr>
          <w:sz w:val="20"/>
          <w:szCs w:val="20"/>
          <w:color w:val="auto"/>
        </w:rPr>
      </w:pPr>
    </w:p>
    <w:p>
      <w:pPr>
        <w:ind w:right="160" w:firstLine="636"/>
        <w:spacing w:after="0" w:line="252"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 Section 404 of the Sarbanes-Oxley Act (Section 404) requires that we evaluate and determine the effectiveness of our internal control over financial reporting. This assessment needs to include the disclosure of any material weaknesses in such internal control. A material weakness is a deficiency or combination of deficiencies in internal control over financial reporting such that there is a reasonable possibility that a material misstatement of our consolidated financial statements will not be prevented or detected on a timely basis.</w:t>
      </w:r>
    </w:p>
    <w:p>
      <w:pPr>
        <w:spacing w:after="0" w:line="79" w:lineRule="exact"/>
        <w:rPr>
          <w:sz w:val="20"/>
          <w:szCs w:val="20"/>
          <w:color w:val="auto"/>
        </w:rPr>
      </w:pPr>
    </w:p>
    <w:p>
      <w:pPr>
        <w:ind w:right="60" w:firstLine="636"/>
        <w:spacing w:after="0" w:line="252" w:lineRule="auto"/>
        <w:rPr>
          <w:sz w:val="20"/>
          <w:szCs w:val="20"/>
          <w:color w:val="auto"/>
        </w:rPr>
      </w:pPr>
      <w:r>
        <w:rPr>
          <w:rFonts w:ascii="Times New Roman" w:cs="Times New Roman" w:eastAsia="Times New Roman" w:hAnsi="Times New Roman"/>
          <w:sz w:val="18"/>
          <w:szCs w:val="18"/>
          <w:color w:val="auto"/>
        </w:rPr>
        <w:t>In connection with the finalization of our consolidated financial statements as of and for the year ended December 31, 2019, we and our independent auditors concluded that a material weakness existed in our internal control over financial reporting relating to the review of the technical accounting for settlement of tranche liabilities. Specifically, in connection with our Series A preferred stock financing in 2019, we recorded a correcting adjustment to increase other non-operating expense for the change in fair value of the Series A preferred tranche liability after we initially recorded the amount as a deemed dividend. There were and have been no other tranche liabilities after the settlement of this liability in February 2019.</w:t>
      </w:r>
    </w:p>
    <w:p>
      <w:pPr>
        <w:spacing w:after="0" w:line="79" w:lineRule="exact"/>
        <w:rPr>
          <w:sz w:val="20"/>
          <w:szCs w:val="20"/>
          <w:color w:val="auto"/>
        </w:rPr>
      </w:pPr>
    </w:p>
    <w:p>
      <w:pPr>
        <w:ind w:right="120" w:firstLine="636"/>
        <w:spacing w:after="0" w:line="259" w:lineRule="auto"/>
        <w:rPr>
          <w:sz w:val="20"/>
          <w:szCs w:val="20"/>
          <w:color w:val="auto"/>
        </w:rPr>
      </w:pPr>
      <w:r>
        <w:rPr>
          <w:rFonts w:ascii="Times New Roman" w:cs="Times New Roman" w:eastAsia="Times New Roman" w:hAnsi="Times New Roman"/>
          <w:sz w:val="18"/>
          <w:szCs w:val="18"/>
          <w:color w:val="auto"/>
        </w:rPr>
        <w:t>Although we believe that we have remediated this material weakness by hiring additional accounting and financial reporting personnel and have not identified any material weaknesses in connection with the finalization of our consolidated financial statements as of and for the year ended December 31, 2022, we cannot assure you that we will not identify other material weaknesses in the future.</w:t>
      </w:r>
    </w:p>
    <w:p>
      <w:pPr>
        <w:spacing w:after="0" w:line="72" w:lineRule="exact"/>
        <w:rPr>
          <w:sz w:val="20"/>
          <w:szCs w:val="20"/>
          <w:color w:val="auto"/>
        </w:rPr>
      </w:pPr>
    </w:p>
    <w:p>
      <w:pPr>
        <w:ind w:firstLine="636"/>
        <w:spacing w:after="0" w:line="255" w:lineRule="auto"/>
        <w:rPr>
          <w:sz w:val="20"/>
          <w:szCs w:val="20"/>
          <w:color w:val="auto"/>
        </w:rPr>
      </w:pPr>
      <w:r>
        <w:rPr>
          <w:rFonts w:ascii="Times New Roman" w:cs="Times New Roman" w:eastAsia="Times New Roman" w:hAnsi="Times New Roman"/>
          <w:sz w:val="18"/>
          <w:szCs w:val="18"/>
          <w:color w:val="auto"/>
        </w:rPr>
        <w:t>Furthermore, we may not have identified all material weaknesses, and our current controls and any new controls that we develop may become inadequate because of changes in personnel or conditions in our business or otherwise. Accordingly, we cannot assure you that any future material weaknesses will not result in a material misstatement of our consolidated financial statements and/or our failure to meet our public reporting obligations. In addition, if we and/or our independent registered public accounting firm are unable to conclude that our internal control over financial reporting is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420"/>
        <w:spacing w:after="0" w:line="274" w:lineRule="auto"/>
        <w:rPr>
          <w:sz w:val="20"/>
          <w:szCs w:val="20"/>
          <w:color w:val="auto"/>
        </w:rPr>
      </w:pPr>
      <w:r>
        <w:rPr>
          <w:rFonts w:ascii="Times New Roman" w:cs="Times New Roman" w:eastAsia="Times New Roman" w:hAnsi="Times New Roman"/>
          <w:sz w:val="18"/>
          <w:szCs w:val="18"/>
          <w:color w:val="auto"/>
        </w:rPr>
        <w:t>effective in the future, investor confidence in the accuracy and completeness of our consolidated financial statements would be adversely affected, which could significantly harm our business and the value of our common stock.</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09"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over financial reporting, our ability to produce accurate and timely consolidated financial statements could be impaired.</w:t>
      </w:r>
    </w:p>
    <w:p>
      <w:pPr>
        <w:spacing w:after="0" w:line="1" w:lineRule="exact"/>
        <w:rPr>
          <w:sz w:val="20"/>
          <w:szCs w:val="20"/>
          <w:color w:val="auto"/>
        </w:rPr>
      </w:pPr>
    </w:p>
    <w:p>
      <w:pPr>
        <w:ind w:right="40" w:firstLine="636"/>
        <w:spacing w:after="0" w:line="251" w:lineRule="auto"/>
        <w:rPr>
          <w:sz w:val="20"/>
          <w:szCs w:val="20"/>
          <w:color w:val="auto"/>
        </w:rPr>
      </w:pPr>
      <w:r>
        <w:rPr>
          <w:rFonts w:ascii="Times New Roman" w:cs="Times New Roman" w:eastAsia="Times New Roman" w:hAnsi="Times New Roman"/>
          <w:sz w:val="18"/>
          <w:szCs w:val="18"/>
          <w:color w:val="auto"/>
        </w:rPr>
        <w:t>Pursuant to Section 404, our management will be required to report upon the effectiveness of our internal control over financial reporting beginning with this filing of an Annual Report on Form 10-K with the SEC and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and procedures, and hire additional accounting and finance staff.</w:t>
      </w:r>
    </w:p>
    <w:p>
      <w:pPr>
        <w:spacing w:after="0" w:line="26" w:lineRule="exact"/>
        <w:rPr>
          <w:sz w:val="20"/>
          <w:szCs w:val="20"/>
          <w:color w:val="auto"/>
        </w:rPr>
      </w:pPr>
    </w:p>
    <w:p>
      <w:pPr>
        <w:ind w:firstLine="636"/>
        <w:spacing w:after="0" w:line="249" w:lineRule="auto"/>
        <w:rPr>
          <w:sz w:val="20"/>
          <w:szCs w:val="20"/>
          <w:color w:val="auto"/>
        </w:rPr>
      </w:pPr>
      <w:r>
        <w:rPr>
          <w:rFonts w:ascii="Times New Roman" w:cs="Times New Roman" w:eastAsia="Times New Roman" w:hAnsi="Times New Roman"/>
          <w:sz w:val="18"/>
          <w:szCs w:val="18"/>
          <w:color w:val="auto"/>
        </w:rPr>
        <w:t>We cannot assure you that there will not be future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The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15" w:lineRule="exact"/>
        <w:rPr>
          <w:sz w:val="20"/>
          <w:szCs w:val="20"/>
          <w:color w:val="auto"/>
        </w:rPr>
      </w:pPr>
    </w:p>
    <w:p>
      <w:pPr>
        <w:ind w:right="40" w:firstLine="636"/>
        <w:spacing w:after="0" w:line="265" w:lineRule="auto"/>
        <w:rPr>
          <w:sz w:val="20"/>
          <w:szCs w:val="20"/>
          <w:color w:val="auto"/>
        </w:rPr>
      </w:pPr>
      <w:r>
        <w:rPr>
          <w:rFonts w:ascii="Times New Roman" w:cs="Times New Roman" w:eastAsia="Times New Roman" w:hAnsi="Times New Roman"/>
          <w:sz w:val="17"/>
          <w:szCs w:val="17"/>
          <w:color w:val="auto"/>
        </w:rPr>
        <w:t>We are subject to the periodic reporting requirements of the Exchange Act, and we must maintain disclosure controls and procedures designed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or identify a potential conflict of interest.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which could result in substantial losses for investors.</w:t>
      </w:r>
    </w:p>
    <w:p>
      <w:pPr>
        <w:spacing w:after="0" w:line="115" w:lineRule="exact"/>
        <w:rPr>
          <w:sz w:val="20"/>
          <w:szCs w:val="20"/>
          <w:color w:val="auto"/>
        </w:rPr>
      </w:pPr>
    </w:p>
    <w:p>
      <w:pPr>
        <w:jc w:val="both"/>
        <w:ind w:right="180" w:firstLine="636"/>
        <w:spacing w:after="0" w:line="259" w:lineRule="auto"/>
        <w:rPr>
          <w:sz w:val="20"/>
          <w:szCs w:val="20"/>
          <w:color w:val="auto"/>
        </w:rPr>
      </w:pPr>
      <w:r>
        <w:rPr>
          <w:rFonts w:ascii="Times New Roman" w:cs="Times New Roman" w:eastAsia="Times New Roman" w:hAnsi="Times New Roman"/>
          <w:sz w:val="18"/>
          <w:szCs w:val="18"/>
          <w:color w:val="auto"/>
        </w:rPr>
        <w:t>The market price of our common stock may be volatile and may fluctuate substantially as a result of a variety of factors, many of which are beyond our control. Some of the factors that may cause the market price of our common stock to fluctuate are listed below and other factors described in this “Risk Factors” section:</w:t>
      </w:r>
    </w:p>
    <w:p>
      <w:pPr>
        <w:spacing w:after="0" w:line="72" w:lineRule="exact"/>
        <w:rPr>
          <w:sz w:val="20"/>
          <w:szCs w:val="20"/>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nonclinical studies and clinical trials for our product candidates;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product development and research programs;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 candidates or technologies;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or regulatory approvals of our competitors;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 for our product development and research programs;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including those concerning patent applications, issued patents, or other proprietary rights;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business and on global economic conditions;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40" w:hanging="316"/>
        <w:spacing w:after="0" w:line="259"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discord or disruption, geopolitical events, social unrest, war, including repercussions of the recent military conflict between Russia and Ukraine, tensions in U.S.-China relations, terrorism, political instability, acts of public violence, boycotts, hostilities and social unrest and other health pandemics;</w:t>
      </w:r>
    </w:p>
    <w:p>
      <w:pPr>
        <w:spacing w:after="0" w:line="7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programs or clinical development programs;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estimates as to our financial results or development timelines;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financial results, forecasts and development timelines meet the expectations of securities analysts or investors;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if any, that cover our stock;</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healthcare sector;</w:t>
      </w:r>
    </w:p>
    <w:p>
      <w:pPr>
        <w:spacing w:after="0" w:line="111" w:lineRule="exact"/>
        <w:rPr>
          <w:rFonts w:ascii="Times New Roman" w:cs="Times New Roman" w:eastAsia="Times New Roman" w:hAnsi="Times New Roman"/>
          <w:sz w:val="18"/>
          <w:szCs w:val="18"/>
          <w:color w:val="auto"/>
        </w:rPr>
      </w:pPr>
    </w:p>
    <w:p>
      <w:pPr>
        <w:ind w:left="640" w:right="300" w:hanging="316"/>
        <w:spacing w:after="0" w:line="274"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beyond our control, such as inflationary pressures, other macroeconomic factors and associated economic downturn; and</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11" w:lineRule="exact"/>
        <w:rPr>
          <w:sz w:val="20"/>
          <w:szCs w:val="20"/>
          <w:color w:val="auto"/>
        </w:rPr>
      </w:pPr>
    </w:p>
    <w:p>
      <w:pPr>
        <w:ind w:right="80" w:firstLine="636"/>
        <w:spacing w:after="0" w:line="269" w:lineRule="auto"/>
        <w:rPr>
          <w:sz w:val="20"/>
          <w:szCs w:val="20"/>
          <w:color w:val="auto"/>
        </w:rPr>
      </w:pPr>
      <w:r>
        <w:rPr>
          <w:rFonts w:ascii="Times New Roman" w:cs="Times New Roman" w:eastAsia="Times New Roman" w:hAnsi="Times New Roman"/>
          <w:sz w:val="17"/>
          <w:szCs w:val="17"/>
          <w:color w:val="auto"/>
        </w:rPr>
        <w:t>In recent years, stock markets in general, and the market for biotechnology companies in particular, have experienced significant price and volume fluctuations that have often been unrelated or disproportionate to changes in the operating performance of the companies whose stock is experiencing those price and volume fluctuations. Broad market and industry factors have affected and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59"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publish negative or neutral evaluations of our stock, the price of our stock could decline.</w:t>
      </w:r>
    </w:p>
    <w:p>
      <w:pPr>
        <w:spacing w:after="0" w:line="54" w:lineRule="exact"/>
        <w:rPr>
          <w:sz w:val="20"/>
          <w:szCs w:val="20"/>
          <w:color w:val="auto"/>
        </w:rPr>
      </w:pPr>
    </w:p>
    <w:p>
      <w:pPr>
        <w:ind w:right="260" w:firstLine="636"/>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securities analysts publish about us or our business. If one or more of the analysts covering our business initiate coverage with a neutral or sell rating or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by our existing stockholders could cause the price of our common stock to decline.</w:t>
      </w:r>
    </w:p>
    <w:p>
      <w:pPr>
        <w:spacing w:after="0" w:line="115" w:lineRule="exact"/>
        <w:rPr>
          <w:sz w:val="20"/>
          <w:szCs w:val="20"/>
          <w:color w:val="auto"/>
        </w:rPr>
      </w:pPr>
    </w:p>
    <w:p>
      <w:pPr>
        <w:ind w:firstLine="636"/>
        <w:spacing w:after="0" w:line="251" w:lineRule="auto"/>
        <w:rPr>
          <w:sz w:val="20"/>
          <w:szCs w:val="20"/>
          <w:color w:val="auto"/>
        </w:rPr>
      </w:pPr>
      <w:r>
        <w:rPr>
          <w:rFonts w:ascii="Times New Roman" w:cs="Times New Roman" w:eastAsia="Times New Roman" w:hAnsi="Times New Roman"/>
          <w:sz w:val="18"/>
          <w:szCs w:val="18"/>
          <w:color w:val="auto"/>
        </w:rPr>
        <w:t>At any time, sales of a substantial number of shares of our common stock in the public market could occur, or there could be a perception in the market that the holders of a large number of shares of common stock intend to sell shares, and any such event could reduce the market price of our common stock. As of December 31, 2022, we have 249,567,343 shares of common stock outstanding, with no shares of restricted stock awards outstanding that are subject to vesting requirements. Substantially all of the shares of our common stock outstanding and shares issued upon the exercise of stock options outstanding under our equity incentive plans, subject to applicable securities law restrictions and excluding shares of restricted stock that will remain unvested, may be able to be sold in the public market.</w:t>
      </w:r>
    </w:p>
    <w:p>
      <w:pPr>
        <w:spacing w:after="0" w:line="79" w:lineRule="exact"/>
        <w:rPr>
          <w:sz w:val="20"/>
          <w:szCs w:val="20"/>
          <w:color w:val="auto"/>
        </w:rPr>
      </w:pPr>
    </w:p>
    <w:p>
      <w:pPr>
        <w:ind w:right="140" w:firstLine="636"/>
        <w:spacing w:after="0" w:line="259" w:lineRule="auto"/>
        <w:rPr>
          <w:sz w:val="20"/>
          <w:szCs w:val="20"/>
          <w:color w:val="auto"/>
        </w:rPr>
      </w:pPr>
      <w:r>
        <w:rPr>
          <w:rFonts w:ascii="Times New Roman" w:cs="Times New Roman" w:eastAsia="Times New Roman" w:hAnsi="Times New Roman"/>
          <w:sz w:val="18"/>
          <w:szCs w:val="18"/>
          <w:color w:val="auto"/>
        </w:rPr>
        <w:t>Moreover, holders of shares of our common stock will have rights, subject to conditions, to require us to file registration statements with the SEC covering their shares or to include their shares in registration statements that we may file for ourselves or other stockholders. If any of these additional shares are sold, or if it is perceived that they will be sold, in the public market, the market price of our common stock could decline.</w:t>
      </w:r>
    </w:p>
    <w:p>
      <w:pPr>
        <w:spacing w:after="0" w:line="68"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technologies or our products.</w:t>
      </w:r>
    </w:p>
    <w:p>
      <w:pPr>
        <w:spacing w:after="0" w:line="54" w:lineRule="exact"/>
        <w:rPr>
          <w:sz w:val="20"/>
          <w:szCs w:val="20"/>
          <w:color w:val="auto"/>
        </w:rPr>
      </w:pPr>
    </w:p>
    <w:p>
      <w:pPr>
        <w:ind w:right="60" w:firstLine="636"/>
        <w:spacing w:after="0" w:line="252" w:lineRule="auto"/>
        <w:rPr>
          <w:sz w:val="20"/>
          <w:szCs w:val="20"/>
          <w:color w:val="auto"/>
        </w:rPr>
      </w:pPr>
      <w:r>
        <w:rPr>
          <w:rFonts w:ascii="Times New Roman" w:cs="Times New Roman" w:eastAsia="Times New Roman" w:hAnsi="Times New Roman"/>
          <w:sz w:val="18"/>
          <w:szCs w:val="18"/>
          <w:color w:val="auto"/>
        </w:rPr>
        <w:t>We may seek additional capital through a combination of public and private equity offerings, debt financings, strategic partnerships and alliances and licensing arrangements. We, and indirectly, our stockholders, will bear the cost of issuing and servicing securities issued in any such transactions. Because our decision to issue debt or equity securities in any future offering will depend on market conditions and other factors beyond our control, we cannot predict or estimate the amount, timing or nature of any future offerings. In August 2022, we entered into an Equity Distribution Agreement pursuant to which we may offer and sell, from time to time, up to $200.0 million in shares of our common stock. To the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extent that we raise additional capital through the sale of equity or debt securities, including pursuant to the Equity Distribution Agreement,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alliances or licensing arrangements with third parties, we may have to relinquish valuable rights to our technologies or our products, or grant licenses on terms unfavorable to us. Certain of the foregoing transactions may require us to obtain stockholder approval, which we may not be able to obtain.</w:t>
      </w:r>
    </w:p>
    <w:p>
      <w:pPr>
        <w:spacing w:after="0" w:line="80"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no longer an “emerging growth company”, and the reduced reporting requirements applicable to “emerging growth companies” will no longer apply, which will increase our costs as a result of being a public company and demands on management.</w:t>
      </w:r>
    </w:p>
    <w:p>
      <w:pPr>
        <w:spacing w:after="0" w:line="54" w:lineRule="exact"/>
        <w:rPr>
          <w:sz w:val="20"/>
          <w:szCs w:val="20"/>
          <w:color w:val="auto"/>
        </w:rPr>
      </w:pPr>
    </w:p>
    <w:p>
      <w:pPr>
        <w:ind w:right="20" w:firstLine="636"/>
        <w:spacing w:after="0" w:line="267" w:lineRule="auto"/>
        <w:rPr>
          <w:sz w:val="20"/>
          <w:szCs w:val="20"/>
          <w:color w:val="auto"/>
        </w:rPr>
      </w:pPr>
      <w:r>
        <w:rPr>
          <w:rFonts w:ascii="Times New Roman" w:cs="Times New Roman" w:eastAsia="Times New Roman" w:hAnsi="Times New Roman"/>
          <w:sz w:val="17"/>
          <w:szCs w:val="17"/>
          <w:color w:val="auto"/>
        </w:rPr>
        <w:t>Effective December 31, 2022, we are no longer classified as an “emerging growth company” as defined in the JOBS Act. As such, we will incur significant additional expenses that we did not previously incur in complying with the Sarbanes-Oxley Act and rules implemented by the SEC. For instance, the cost of compliance with Section 404 has required, and will continue to require, us to incur substantial accounting expense and expend significant management time on compliance-related issues as we implement additional corporate governance practices and comply with reporting requirements, which could divert management attention and adversely affect our business, operating results and financial condition. Moreover, if we or our independent registered public accounting firm identifies deficiencies in our internal control over financial reporting that are deemed to be material weaknesses, we could be subject to sanctions or investigations by the SEC or other regulatory authorities, which would require additional financial and management resources.</w:t>
      </w:r>
    </w:p>
    <w:p>
      <w:pPr>
        <w:spacing w:after="0" w:line="68" w:lineRule="exact"/>
        <w:rPr>
          <w:sz w:val="20"/>
          <w:szCs w:val="20"/>
          <w:color w:val="auto"/>
        </w:rPr>
      </w:pPr>
    </w:p>
    <w:p>
      <w:pPr>
        <w:ind w:right="80" w:firstLine="636"/>
        <w:spacing w:after="0" w:line="255" w:lineRule="auto"/>
        <w:rPr>
          <w:sz w:val="20"/>
          <w:szCs w:val="20"/>
          <w:color w:val="auto"/>
        </w:rPr>
      </w:pPr>
      <w:r>
        <w:rPr>
          <w:rFonts w:ascii="Times New Roman" w:cs="Times New Roman" w:eastAsia="Times New Roman" w:hAnsi="Times New Roman"/>
          <w:sz w:val="18"/>
          <w:szCs w:val="18"/>
          <w:color w:val="auto"/>
        </w:rPr>
        <w:t>Furthermore, investor perceptions of our company may suffer if, in the future, material weaknesses are found, and this could cause a decline in the market price of our stock. Irrespective of compliance with Section 404, any failure of our internal control over financial reporting could have a material effect on our stated operating results. If we are unable to implement these changes effectively or efficiently, it could harm our operations, financial reporting or financial results and could result in an adverse opinion on internal control from our independent registered public accounting firm.</w:t>
      </w:r>
    </w:p>
    <w:p>
      <w:pPr>
        <w:spacing w:after="0" w:line="74" w:lineRule="exact"/>
        <w:rPr>
          <w:sz w:val="20"/>
          <w:szCs w:val="20"/>
          <w:color w:val="auto"/>
        </w:rPr>
      </w:pPr>
    </w:p>
    <w:p>
      <w:pPr>
        <w:ind w:right="40" w:firstLine="636"/>
        <w:spacing w:after="0" w:line="255" w:lineRule="auto"/>
        <w:rPr>
          <w:sz w:val="20"/>
          <w:szCs w:val="20"/>
          <w:color w:val="auto"/>
        </w:rPr>
      </w:pPr>
      <w:r>
        <w:rPr>
          <w:rFonts w:ascii="Times New Roman" w:cs="Times New Roman" w:eastAsia="Times New Roman" w:hAnsi="Times New Roman"/>
          <w:sz w:val="18"/>
          <w:szCs w:val="18"/>
          <w:color w:val="auto"/>
        </w:rPr>
        <w:t>In addition, as a “large accelerated filer,” we will be required to hold a say-on-pay vote and a say-on-frequency vote at our 2023 annual meeting of stockholders. As a result, we expect that we will require additional attention from management with respect to our disclosures and will incur increased costs, which could include higher legal fees, accounting fees, consultant fees and fees associated with investor relations activities, among others, and, as a result, our business, operating results and financial condition could be adversely affected.</w:t>
      </w:r>
    </w:p>
    <w:p>
      <w:pPr>
        <w:spacing w:after="0" w:line="7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Future acquisitions, strategic investments, partnerships or alliances could be difficult to identify and integrate, divert the attention of management, disrupt our business, dilute stockholder value and adversely affect our operating results and financial condition.</w:t>
      </w:r>
    </w:p>
    <w:p>
      <w:pPr>
        <w:spacing w:after="0" w:line="54" w:lineRule="exact"/>
        <w:rPr>
          <w:sz w:val="20"/>
          <w:szCs w:val="20"/>
          <w:color w:val="auto"/>
        </w:rPr>
      </w:pPr>
    </w:p>
    <w:p>
      <w:pPr>
        <w:ind w:right="20" w:firstLine="636"/>
        <w:spacing w:after="0" w:line="266" w:lineRule="auto"/>
        <w:rPr>
          <w:sz w:val="20"/>
          <w:szCs w:val="20"/>
          <w:color w:val="auto"/>
        </w:rPr>
      </w:pPr>
      <w:r>
        <w:rPr>
          <w:rFonts w:ascii="Times New Roman" w:cs="Times New Roman" w:eastAsia="Times New Roman" w:hAnsi="Times New Roman"/>
          <w:sz w:val="17"/>
          <w:szCs w:val="17"/>
          <w:color w:val="auto"/>
        </w:rPr>
        <w:t>We may in the future seek to acquire or invest in businesses, products or technologies that we believe could complement or expand our technology platforms, enhance our technical capabilities, or otherwise offer growth opportunities. The pursuit of potential acquisitions or strategic investments may divert the attention of management and cause us to incur various expenses in identifying, investigating and pursuing suitable acquisitions or investments, whether or not such transactions are completed. In addition, we have only limited experience in acquiring or investing in other businesses, and we may not successfully identify desirable targets, or if we acquire additional businesses, we may not be able to integrate them effectively following the acquisition. Acquisitions could also result in dilutive issuances of equity securities or the incurrence of debt, as well as unfavorable accounting treatment and exposure to claims and disputes by third parties, including intellectual property claims. We also may not generate sufficient financial returns to offset the costs and expenses related to any acquisitions. In addition, if an acquired business fails to meet our expectations, our business, operating results and financial condition may suffer.</w:t>
      </w:r>
    </w:p>
    <w:p>
      <w:pPr>
        <w:spacing w:after="0" w:line="65"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require our management to devote substantial time to compliance initiatives and corporate governance practices and could divert management’s attention and strain our resources.</w:t>
      </w:r>
    </w:p>
    <w:p>
      <w:pPr>
        <w:spacing w:after="0" w:line="54" w:lineRule="exact"/>
        <w:rPr>
          <w:sz w:val="20"/>
          <w:szCs w:val="20"/>
          <w:color w:val="auto"/>
        </w:rPr>
      </w:pPr>
    </w:p>
    <w:p>
      <w:pPr>
        <w:jc w:val="both"/>
        <w:ind w:right="40" w:firstLine="636"/>
        <w:spacing w:after="0" w:line="255" w:lineRule="auto"/>
        <w:rPr>
          <w:sz w:val="20"/>
          <w:szCs w:val="20"/>
          <w:color w:val="auto"/>
        </w:rPr>
      </w:pPr>
      <w:r>
        <w:rPr>
          <w:rFonts w:ascii="Times New Roman" w:cs="Times New Roman" w:eastAsia="Times New Roman" w:hAnsi="Times New Roman"/>
          <w:sz w:val="18"/>
          <w:szCs w:val="18"/>
          <w:color w:val="auto"/>
        </w:rPr>
        <w:t>As a public company, we incur and will continue to incur significant legal, accounting and other expenses that we did not incur as a private company. Section 404, the Dodd-Frank Wall Street Reform and Consumer Protection Act, the listing requirements and rules of The Nasdaq Stock Market LLC (Nasdaq Listing Rules) and other applicable U.S. rules and regulations impose various requirements on public companies, including establishment and maintenance of effective disclosure and financial controls and corporate governance practices. We continue to need to hire additional accounting,</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finance and other personnel in connection with our efforts to comply with the requirements of being a public company, and our management and other personnel will continue to need to devote a substantial amount of time towards maintaining compliance with these requirements. These requirements have and will increase our legal and financial compliance costs and will make some activities more time-consuming and costly. For example, the rules and regulations applicable to us as a public company have made it more expensive for us to obtain director and officer liability insurance. We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15" w:lineRule="exact"/>
        <w:rPr>
          <w:sz w:val="20"/>
          <w:szCs w:val="20"/>
          <w:color w:val="auto"/>
        </w:rPr>
      </w:pPr>
    </w:p>
    <w:p>
      <w:pPr>
        <w:ind w:firstLine="636"/>
        <w:spacing w:after="0" w:line="248" w:lineRule="auto"/>
        <w:rPr>
          <w:sz w:val="20"/>
          <w:szCs w:val="20"/>
          <w:color w:val="auto"/>
        </w:rPr>
      </w:pPr>
      <w:r>
        <w:rPr>
          <w:rFonts w:ascii="Times New Roman" w:cs="Times New Roman" w:eastAsia="Times New Roman" w:hAnsi="Times New Roman"/>
          <w:sz w:val="18"/>
          <w:szCs w:val="18"/>
          <w:color w:val="auto"/>
        </w:rPr>
        <w:t>Under the Tax Cuts and Jobs Act of 2017 (the Tax Act), as modified by the Coronavirus Aid, Relief, and Economic Security Act (the CARES Act), our net operating losses (NOLs) generated in tax years beginning after December 31, 2017 may be carried forward indefinitely, but the deductibility of such federal NOLs in tax years beginning after December 31, 2020, is limited to 80% of taxable income. It is uncertain if and to what extent various states will conform to the Tax Act or the CARES Act. In addition, under Sections 382 and 383 of the U.S. Internal Revenue Code of 1986, as amended (the Code), if a corporation undergoes an “ownership change,” generally defined as a greater than 50 percentage point change (by value) in its equity ownership by certain stockholders over a three-year period, the corporation’s ability to use its pre-change NOLs and other pre-change tax attributes (such as research and development tax credits) to offset its post-change income or taxes may be limited. We may have experienced ownership changes in the past, including as a result of our IPO, and may experience future ownership changes as a result of subsequent shifts in our stock ownership (some of which may be outside our control). As a result, our ability to use our pre-change NOLs and tax credits to offset post-change taxable income, if any, could be subject to limitations. Similar provisions of state tax law may also apply. In addition, at the state level, there may be periods during which the use of NOLs is suspended or otherwise limited, which could accelerate or permanently increase state taxes owed. For example, California recently imposed limits on the usability of California state NOLs and tax credits to offset California taxable income in tax years beginning after December 31, 2019 and before January 1, 2022. As a result, even if we attain profitability, we may be unable to use a material portion of our NOLs and tax credits.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computer system failures or security breaches.</w:t>
      </w:r>
    </w:p>
    <w:p>
      <w:pPr>
        <w:spacing w:after="0" w:line="115" w:lineRule="exact"/>
        <w:rPr>
          <w:sz w:val="20"/>
          <w:szCs w:val="20"/>
          <w:color w:val="auto"/>
        </w:rPr>
      </w:pPr>
    </w:p>
    <w:p>
      <w:pPr>
        <w:ind w:right="100" w:firstLine="636"/>
        <w:spacing w:after="0" w:line="252" w:lineRule="auto"/>
        <w:rPr>
          <w:sz w:val="20"/>
          <w:szCs w:val="20"/>
          <w:color w:val="auto"/>
        </w:rPr>
      </w:pPr>
      <w:r>
        <w:rPr>
          <w:rFonts w:ascii="Times New Roman" w:cs="Times New Roman" w:eastAsia="Times New Roman" w:hAnsi="Times New Roman"/>
          <w:sz w:val="18"/>
          <w:szCs w:val="18"/>
          <w:color w:val="auto"/>
        </w:rPr>
        <w:t>Our internal computer systems, and those of our partners, are vulnerable to damage from computer viruses, unauthorized access, natural disasters, fire, terrorism, war and telecommunication and electrical failures. We exercise little or no control over these third parties, which increases our vulnerability to problems with their systems. To the extent that any disruption or security breach results in a loss of or damage to our data or applications or inappropriate disclosure of confidential or proprietary information, we could incur liability, the further development of our product candidates could be delayed and our business could be otherwise adversely affected.</w:t>
      </w:r>
    </w:p>
    <w:p>
      <w:pPr>
        <w:spacing w:after="0" w:line="79" w:lineRule="exact"/>
        <w:rPr>
          <w:sz w:val="20"/>
          <w:szCs w:val="20"/>
          <w:color w:val="auto"/>
        </w:rPr>
      </w:pPr>
    </w:p>
    <w:p>
      <w:pPr>
        <w:ind w:right="20" w:firstLine="636"/>
        <w:spacing w:after="0" w:line="248" w:lineRule="auto"/>
        <w:rPr>
          <w:sz w:val="20"/>
          <w:szCs w:val="20"/>
          <w:color w:val="auto"/>
        </w:rPr>
      </w:pPr>
      <w:r>
        <w:rPr>
          <w:rFonts w:ascii="Times New Roman" w:cs="Times New Roman" w:eastAsia="Times New Roman" w:hAnsi="Times New Roman"/>
          <w:sz w:val="18"/>
          <w:szCs w:val="18"/>
          <w:color w:val="auto"/>
        </w:rPr>
        <w:t>While we have not experienced any material system failure, accident or security breach to date, we cannot assure you that our data protection efforts and our investment in information technology will prevent significant breakdowns, data leakages, breaches in our systems or other cyber incidents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78"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potentially expose us to substantial liability for intellectual property infringement, data protection and other losses.</w:t>
      </w:r>
    </w:p>
    <w:p>
      <w:pPr>
        <w:spacing w:after="0" w:line="54" w:lineRule="exact"/>
        <w:rPr>
          <w:sz w:val="20"/>
          <w:szCs w:val="20"/>
          <w:color w:val="auto"/>
        </w:rPr>
      </w:pPr>
    </w:p>
    <w:p>
      <w:pPr>
        <w:ind w:right="80" w:firstLine="636"/>
        <w:spacing w:after="0" w:line="274" w:lineRule="auto"/>
        <w:rPr>
          <w:sz w:val="20"/>
          <w:szCs w:val="20"/>
          <w:color w:val="auto"/>
        </w:rPr>
      </w:pPr>
      <w:r>
        <w:rPr>
          <w:rFonts w:ascii="Times New Roman" w:cs="Times New Roman" w:eastAsia="Times New Roman" w:hAnsi="Times New Roman"/>
          <w:sz w:val="18"/>
          <w:szCs w:val="18"/>
          <w:color w:val="auto"/>
        </w:rPr>
        <w:t>Our agreements with third parties may include indemnification provisions under which we agree to indemnify them for losses suffered or incurred as a result of claims of intellectual property infringement or other liabilities relating to</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or arising from our contractual obligations. Large indemnity payments could harm our business and financial condition. Although we normally contractually limit our liability with respect to such obligations, we may still incur substantial liability. Any dispute with a third party with respect to such obligations could have adverse effects on our relationship with that third party and relationships with other existing or new partners, harming our business.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California</w:t>
      </w:r>
    </w:p>
    <w:p>
      <w:pPr>
        <w:spacing w:after="0" w:line="115" w:lineRule="exact"/>
        <w:rPr>
          <w:sz w:val="20"/>
          <w:szCs w:val="20"/>
          <w:color w:val="auto"/>
        </w:rPr>
      </w:pPr>
    </w:p>
    <w:p>
      <w:pPr>
        <w:ind w:right="160" w:firstLine="636"/>
        <w:spacing w:after="0" w:line="274" w:lineRule="auto"/>
        <w:rPr>
          <w:sz w:val="20"/>
          <w:szCs w:val="20"/>
          <w:color w:val="auto"/>
        </w:rPr>
      </w:pPr>
      <w:r>
        <w:rPr>
          <w:rFonts w:ascii="Times New Roman" w:cs="Times New Roman" w:eastAsia="Times New Roman" w:hAnsi="Times New Roman"/>
          <w:sz w:val="18"/>
          <w:szCs w:val="18"/>
          <w:color w:val="auto"/>
        </w:rPr>
        <w:t>Our current corporate headquarters are located in South San Francisco, California, where we lease approximately 108,000 square feet of office and laboratory space, pursuant to a lease agreement that commenced in February 2020 and expires in March 2031.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Washington</w:t>
      </w:r>
    </w:p>
    <w:p>
      <w:pPr>
        <w:spacing w:after="0" w:line="115" w:lineRule="exact"/>
        <w:rPr>
          <w:sz w:val="20"/>
          <w:szCs w:val="20"/>
          <w:color w:val="auto"/>
        </w:rPr>
      </w:pPr>
    </w:p>
    <w:p>
      <w:pPr>
        <w:ind w:right="160" w:firstLine="636"/>
        <w:spacing w:after="0" w:line="259" w:lineRule="auto"/>
        <w:rPr>
          <w:sz w:val="20"/>
          <w:szCs w:val="20"/>
          <w:color w:val="auto"/>
        </w:rPr>
      </w:pPr>
      <w:r>
        <w:rPr>
          <w:rFonts w:ascii="Times New Roman" w:cs="Times New Roman" w:eastAsia="Times New Roman" w:hAnsi="Times New Roman"/>
          <w:sz w:val="18"/>
          <w:szCs w:val="18"/>
          <w:color w:val="auto"/>
        </w:rPr>
        <w:t>We lease approximately 34,000 square feet of office and laboratory space in Seattle, Washington, pursuant to a lease agreement that commenced in January 2019 and expires in December 2028. We lease approximately 73,000 square feet of manufacturing, office and laboratory space in Bothell, Washington, pursuant to a lease agreement that commenced in February 2020 and expires in May 2030.</w:t>
      </w:r>
    </w:p>
    <w:p>
      <w:pPr>
        <w:spacing w:after="0" w:line="72" w:lineRule="exact"/>
        <w:rPr>
          <w:sz w:val="20"/>
          <w:szCs w:val="20"/>
          <w:color w:val="auto"/>
        </w:rPr>
      </w:pPr>
    </w:p>
    <w:p>
      <w:pPr>
        <w:ind w:right="120" w:firstLine="636"/>
        <w:spacing w:after="0" w:line="274" w:lineRule="auto"/>
        <w:rPr>
          <w:sz w:val="20"/>
          <w:szCs w:val="20"/>
          <w:color w:val="auto"/>
        </w:rPr>
      </w:pPr>
      <w:r>
        <w:rPr>
          <w:rFonts w:ascii="Times New Roman" w:cs="Times New Roman" w:eastAsia="Times New Roman" w:hAnsi="Times New Roman"/>
          <w:sz w:val="18"/>
          <w:szCs w:val="18"/>
          <w:color w:val="auto"/>
        </w:rPr>
        <w:t>We believe that these existing facilities will be adequate for our near-term needs. If required, we believe that suitable additional or alternative space would be available in the future on commercially reasonable terms.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13" w:lineRule="exact"/>
        <w:rPr>
          <w:sz w:val="20"/>
          <w:szCs w:val="20"/>
          <w:color w:val="auto"/>
        </w:rPr>
      </w:pPr>
    </w:p>
    <w:p>
      <w:pPr>
        <w:ind w:firstLine="636"/>
        <w:spacing w:after="0" w:line="216" w:lineRule="exact"/>
        <w:rPr>
          <w:sz w:val="20"/>
          <w:szCs w:val="20"/>
          <w:color w:val="auto"/>
        </w:rPr>
      </w:pPr>
      <w:r>
        <w:rPr>
          <w:rFonts w:ascii="Times New Roman" w:cs="Times New Roman" w:eastAsia="Times New Roman" w:hAnsi="Times New Roman"/>
          <w:sz w:val="18"/>
          <w:szCs w:val="18"/>
          <w:color w:val="auto"/>
        </w:rPr>
        <w:t>From time to time, we have been or may become involved in material legal proceedings or be subject to claims arising in the ordinary course of our business. For example, although not material to our operations, in February 2021 we filed a demand for arbitration to, among other things, seek rescission of the agreements we entered into with PACT in June 2020 and recover the consideration paid to PACT thereunder. An arbitration hearing occurred in March 2022 and April 2022. In October 2022, we entered into a settlement agreement with PACT to resolve the outstanding legal dispute, in connection with which we also entered into a stock purchase agreement for the issuance of PACT’s Series D convertible preferred stock in exchange for the tender of previously acquired PACT Series C-1 convertible preferred stock and resolution of the arbitration. The acquisition of PACT’s Series D convertible preferred stock, which are non-voting, have limited conversion rights and carry no right to appoint directors, resulted in our ownership increasing to approximately 80% of PACT’s fully diluted shares outstanding. The settlement agreement also included the termination of the PACT Commitment Agreement to jointly develop a next generation anti-cancer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therapy against solid tumors.</w:t>
      </w:r>
    </w:p>
    <w:p>
      <w:pPr>
        <w:spacing w:after="0" w:line="74" w:lineRule="exact"/>
        <w:rPr>
          <w:sz w:val="20"/>
          <w:szCs w:val="20"/>
          <w:color w:val="auto"/>
        </w:rPr>
      </w:pPr>
    </w:p>
    <w:p>
      <w:pPr>
        <w:ind w:right="40" w:firstLine="636"/>
        <w:spacing w:after="0" w:line="274" w:lineRule="auto"/>
        <w:rPr>
          <w:sz w:val="20"/>
          <w:szCs w:val="20"/>
          <w:color w:val="auto"/>
        </w:rPr>
      </w:pPr>
      <w:r>
        <w:rPr>
          <w:rFonts w:ascii="Times New Roman" w:cs="Times New Roman" w:eastAsia="Times New Roman" w:hAnsi="Times New Roman"/>
          <w:sz w:val="18"/>
          <w:szCs w:val="18"/>
          <w:color w:val="auto"/>
        </w:rPr>
        <w:t>We are currently not party to any legal proceedings material to our operations or of which any of our property is the subject, nor are we aware of any such proceedings that are contemplated by a government authority.</w:t>
      </w:r>
    </w:p>
    <w:p>
      <w:pPr>
        <w:spacing w:after="0" w:line="57" w:lineRule="exact"/>
        <w:rPr>
          <w:sz w:val="20"/>
          <w:szCs w:val="20"/>
          <w:color w:val="auto"/>
        </w:rPr>
      </w:pPr>
    </w:p>
    <w:p>
      <w:pPr>
        <w:ind w:right="80" w:firstLine="636"/>
        <w:spacing w:after="0" w:line="274" w:lineRule="auto"/>
        <w:rPr>
          <w:sz w:val="20"/>
          <w:szCs w:val="20"/>
          <w:color w:val="auto"/>
        </w:rPr>
      </w:pPr>
      <w:r>
        <w:rPr>
          <w:rFonts w:ascii="Times New Roman" w:cs="Times New Roman" w:eastAsia="Times New Roman" w:hAnsi="Times New Roman"/>
          <w:sz w:val="18"/>
          <w:szCs w:val="18"/>
          <w:color w:val="auto"/>
        </w:rPr>
        <w:t>Regardless of outcome, any such proceedings or claims is subject to inherent uncertainties and can have an adverse impact on us because of defense and settlement costs, diversion of resources and other factors, and there can be no assurances that favorable outcomes will be obtained.</w:t>
      </w:r>
    </w:p>
    <w:p>
      <w:pPr>
        <w:spacing w:after="0" w:line="267"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19" w:lineRule="exact"/>
        <w:rPr>
          <w:sz w:val="20"/>
          <w:szCs w:val="20"/>
          <w:color w:val="auto"/>
        </w:rPr>
      </w:pPr>
    </w:p>
    <w:p>
      <w:pPr>
        <w:ind w:right="280" w:firstLine="636"/>
        <w:spacing w:after="0" w:line="274" w:lineRule="auto"/>
        <w:rPr>
          <w:sz w:val="20"/>
          <w:szCs w:val="20"/>
          <w:color w:val="auto"/>
        </w:rPr>
      </w:pPr>
      <w:r>
        <w:rPr>
          <w:rFonts w:ascii="Times New Roman" w:cs="Times New Roman" w:eastAsia="Times New Roman" w:hAnsi="Times New Roman"/>
          <w:sz w:val="18"/>
          <w:szCs w:val="18"/>
          <w:color w:val="auto"/>
        </w:rPr>
        <w:t>Our common stock has traded on the Nasdaq Global Select Market under the symbol “LYEL” since June 17, 2021. Prior to that date, there was no public trading market for our common stock.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13" w:lineRule="exact"/>
        <w:rPr>
          <w:sz w:val="20"/>
          <w:szCs w:val="20"/>
          <w:color w:val="auto"/>
        </w:rPr>
      </w:pPr>
    </w:p>
    <w:p>
      <w:pPr>
        <w:ind w:right="300" w:firstLine="636"/>
        <w:spacing w:after="0" w:line="259" w:lineRule="auto"/>
        <w:rPr>
          <w:sz w:val="20"/>
          <w:szCs w:val="20"/>
          <w:color w:val="auto"/>
        </w:rPr>
      </w:pPr>
      <w:r>
        <w:rPr>
          <w:rFonts w:ascii="Times New Roman" w:cs="Times New Roman" w:eastAsia="Times New Roman" w:hAnsi="Times New Roman"/>
          <w:sz w:val="18"/>
          <w:szCs w:val="18"/>
          <w:color w:val="auto"/>
        </w:rPr>
        <w:t>On February 24, 2023, there were 63 holders of record of our common stock. The number of record holders is based upon the actual number of holders registered on our books at such date and does not include holders of shares in “street names” or persons, partnerships, associations, corporations or other entities identified in security position listings maintained by depository trust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13" w:lineRule="exact"/>
        <w:rPr>
          <w:sz w:val="20"/>
          <w:szCs w:val="20"/>
          <w:color w:val="auto"/>
        </w:rPr>
      </w:pPr>
    </w:p>
    <w:p>
      <w:pPr>
        <w:ind w:firstLine="636"/>
        <w:spacing w:after="0" w:line="259" w:lineRule="auto"/>
        <w:rPr>
          <w:sz w:val="20"/>
          <w:szCs w:val="20"/>
          <w:color w:val="auto"/>
        </w:rPr>
      </w:pPr>
      <w:r>
        <w:rPr>
          <w:rFonts w:ascii="Times New Roman" w:cs="Times New Roman" w:eastAsia="Times New Roman" w:hAnsi="Times New Roman"/>
          <w:sz w:val="18"/>
          <w:szCs w:val="18"/>
          <w:color w:val="auto"/>
        </w:rPr>
        <w:t>Since inception, we have not paid dividends on our common stock. We currently intend to retain all future earnings, if any, for use in our business and currently do not plan to pay any cash dividends in the foreseeable future. Any future determination to pay dividends will be at the discretion of our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46" w:lineRule="exact"/>
        <w:rPr>
          <w:sz w:val="20"/>
          <w:szCs w:val="20"/>
          <w:color w:val="auto"/>
        </w:rPr>
      </w:pPr>
    </w:p>
    <w:p>
      <w:pPr>
        <w:ind w:right="60" w:firstLine="636"/>
        <w:spacing w:after="0" w:line="251" w:lineRule="auto"/>
        <w:rPr>
          <w:sz w:val="20"/>
          <w:szCs w:val="20"/>
          <w:color w:val="auto"/>
        </w:rPr>
      </w:pPr>
      <w:r>
        <w:rPr>
          <w:rFonts w:ascii="Times New Roman" w:cs="Times New Roman" w:eastAsia="Times New Roman" w:hAnsi="Times New Roman"/>
          <w:sz w:val="18"/>
          <w:szCs w:val="18"/>
          <w:color w:val="auto"/>
        </w:rPr>
        <w:t>The following stock performance graph compares the value of an investment in (i) our common stock, (ii) Nasdaq Composite Index and (iii) Nasdaq Biotechnology Index for the period from June 17, 2021 (the date our common stock commenced trading on the Nasdaq Global Select Market) through December 31, 2022. The figures represented below assume an investment of $100 in our common stock at the closing price on June 17, 2021 and in the Nasdaq Composite Index and Nasdaq Biotechnology Index on June 17, 2021 and the reinvestment of any dividends into shares of common stock. However, no dividends have been declared on our common stock to date. The comparisons in the table are required by the Securities and Exchange Commission and are not intended to forecast or be indicative of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146050</wp:posOffset>
            </wp:positionV>
            <wp:extent cx="3702050" cy="31553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702050" cy="3155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580" w:firstLine="636"/>
        <w:spacing w:after="0" w:line="274" w:lineRule="auto"/>
        <w:rPr>
          <w:sz w:val="20"/>
          <w:szCs w:val="20"/>
          <w:color w:val="auto"/>
        </w:rPr>
      </w:pPr>
      <w:r>
        <w:rPr>
          <w:rFonts w:ascii="Times New Roman" w:cs="Times New Roman" w:eastAsia="Times New Roman" w:hAnsi="Times New Roman"/>
          <w:sz w:val="18"/>
          <w:szCs w:val="18"/>
          <w:color w:val="auto"/>
        </w:rPr>
        <w:t>The above Stock Performance Graph and related information shall not be deemed “soliciting material” or to be “filed” with the Securities and Exchange Commission nor shall such information be incorporated by reference into any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340"/>
        <w:spacing w:after="0" w:line="274" w:lineRule="auto"/>
        <w:rPr>
          <w:sz w:val="20"/>
          <w:szCs w:val="20"/>
          <w:color w:val="auto"/>
        </w:rPr>
      </w:pPr>
      <w:r>
        <w:rPr>
          <w:rFonts w:ascii="Times New Roman" w:cs="Times New Roman" w:eastAsia="Times New Roman" w:hAnsi="Times New Roman"/>
          <w:sz w:val="18"/>
          <w:szCs w:val="18"/>
          <w:color w:val="auto"/>
        </w:rPr>
        <w:t>future filing under the Securities Act or the Exchange Act, each as amended, except to the extent that we specifically incorporate it by reference into such filing.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Equity Securities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our Initial Public Offering of Common Stock</w:t>
      </w:r>
    </w:p>
    <w:p>
      <w:pPr>
        <w:spacing w:after="0" w:line="113" w:lineRule="exact"/>
        <w:rPr>
          <w:sz w:val="20"/>
          <w:szCs w:val="20"/>
          <w:color w:val="auto"/>
        </w:rPr>
      </w:pPr>
    </w:p>
    <w:p>
      <w:pPr>
        <w:ind w:firstLine="636"/>
        <w:spacing w:after="0" w:line="266" w:lineRule="auto"/>
        <w:rPr>
          <w:sz w:val="20"/>
          <w:szCs w:val="20"/>
          <w:color w:val="auto"/>
        </w:rPr>
      </w:pPr>
      <w:r>
        <w:rPr>
          <w:rFonts w:ascii="Times New Roman" w:cs="Times New Roman" w:eastAsia="Times New Roman" w:hAnsi="Times New Roman"/>
          <w:sz w:val="17"/>
          <w:szCs w:val="17"/>
          <w:color w:val="auto"/>
        </w:rPr>
        <w:t>In June 2021, we completed our initial public offering (IPO), pursuant to which we issued and sold 25,000,000 shares of our common stock at price to the public of $17.00 per share. The shares were registered pursuant to a registration statement on Form S-1 (File No. 333-256470) that was declared effective on June 16, 2021. As a result of our IPO, we raised a total of approximately $391.8 million in net proceeds after deducting underwriting discounts and commissions of $29.8 million and offering expenses of $3.4 million. Goldman Sachs &amp; Co. LLC, BofA Securities, J.P. Morgan and Morgan Stanley acted as joint book-running managers for the IPO. Upon receipt, the net proceeds from our IPO were held in cash, cash equivalents and investments. No payments were made from our net proceeds directly or indirectly to our officers or directors, to persons owning 10% or more of any class of our equity securities or to any of our affiliates, other than payments in the ordinary course of business to officers for salaries and to non-employee directors as compensation for services on our board. We are holding a significant portion of the balance of the net proceeds from the offering in money market funds and short-term investments.</w:t>
      </w:r>
    </w:p>
    <w:p>
      <w:pPr>
        <w:spacing w:after="0" w:line="69" w:lineRule="exact"/>
        <w:rPr>
          <w:sz w:val="20"/>
          <w:szCs w:val="20"/>
          <w:color w:val="auto"/>
        </w:rPr>
      </w:pPr>
    </w:p>
    <w:p>
      <w:pPr>
        <w:ind w:right="20" w:firstLine="636"/>
        <w:spacing w:after="0" w:line="249" w:lineRule="auto"/>
        <w:rPr>
          <w:sz w:val="20"/>
          <w:szCs w:val="20"/>
          <w:color w:val="auto"/>
        </w:rPr>
      </w:pPr>
      <w:r>
        <w:rPr>
          <w:rFonts w:ascii="Times New Roman" w:cs="Times New Roman" w:eastAsia="Times New Roman" w:hAnsi="Times New Roman"/>
          <w:sz w:val="18"/>
          <w:szCs w:val="18"/>
          <w:color w:val="auto"/>
        </w:rPr>
        <w:t>The proceeds from the IPO have been used to fund ongoing operations, including the development of our product candidates and our clinical trials and research programs, and for working capital and general corporate purposes. There has been no material change in the planned use of proceeds from the IPO from that described in the prospectus filed with the SEC pursuant to Rule 424(b)(4) under the Securities Act on June 21, 2021 (the Prospectus). We cannot predict with certainty all of the particular uses for the net proceeds from our IPO, or the amounts that we will actually spend on the uses set forth in the Prospectus and above. The amounts and timing of our actual use of the net proceeds will vary depending on numerous factors, including our ability to access additional financing, the relative success and cost of our research, nonclinical and clinical development programs and whether we are able to enter into future collaboration and licensing arrangements. As a result, our management will continue to have broad discretion in the application of the net proceeds, and investors will be relying on our judgment regarding the application of the net proceeds from our IPO.</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17" w:lineRule="exact"/>
        <w:rPr>
          <w:sz w:val="20"/>
          <w:szCs w:val="20"/>
          <w:color w:val="auto"/>
        </w:rPr>
      </w:pPr>
    </w:p>
    <w:p>
      <w:pPr>
        <w:ind w:firstLine="636"/>
        <w:spacing w:after="0" w:line="250"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audited consolidated financial statements and the related notes included elsewhere in this Annual Report on Form 10-K. This discussion and analysis and other parts of this Annual Report on Form 10-K contain forward-looking statements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described in or implied by these forward-looking statements as a result of several factors, including those set forth in the section titled “Risk Factors” in Part I, Item 1A of this Annual Report on Form 10-K. See also the section titled “Special Note Regarding Forward-Looking Statements.”</w:t>
      </w:r>
    </w:p>
    <w:p>
      <w:pPr>
        <w:spacing w:after="0" w:line="83" w:lineRule="exact"/>
        <w:rPr>
          <w:sz w:val="20"/>
          <w:szCs w:val="20"/>
          <w:color w:val="auto"/>
        </w:rPr>
      </w:pPr>
    </w:p>
    <w:p>
      <w:pPr>
        <w:ind w:right="20" w:firstLine="636"/>
        <w:spacing w:after="0" w:line="255" w:lineRule="auto"/>
        <w:rPr>
          <w:sz w:val="20"/>
          <w:szCs w:val="20"/>
          <w:color w:val="auto"/>
        </w:rPr>
      </w:pPr>
      <w:r>
        <w:rPr>
          <w:rFonts w:ascii="Times New Roman" w:cs="Times New Roman" w:eastAsia="Times New Roman" w:hAnsi="Times New Roman"/>
          <w:sz w:val="18"/>
          <w:szCs w:val="18"/>
          <w:color w:val="auto"/>
        </w:rPr>
        <w:t>This section under Management’s Discussion and Analysis of Financial Condition and Results of Operations generally discusses 2022 and 2021 items and year-to-year comparisons between 2022 and 2021. Discussions of 2020 items and year-to-year comparisons between 2021 and 2020 that are not included in this Annual Report on Form 10-K can be found in the section titled “Management’s Discussion and Analysis of Financial Condition and Results of Operations” in our Annual Report on Form 10-K for the fiscal year ended December 31,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1" w:lineRule="exact"/>
        <w:rPr>
          <w:sz w:val="20"/>
          <w:szCs w:val="20"/>
          <w:color w:val="auto"/>
        </w:rPr>
      </w:pPr>
    </w:p>
    <w:p>
      <w:pPr>
        <w:ind w:right="20" w:firstLine="636"/>
        <w:spacing w:after="0" w:line="216" w:lineRule="exact"/>
        <w:rPr>
          <w:sz w:val="20"/>
          <w:szCs w:val="20"/>
          <w:color w:val="auto"/>
        </w:rPr>
      </w:pPr>
      <w:r>
        <w:rPr>
          <w:rFonts w:ascii="Times New Roman" w:cs="Times New Roman" w:eastAsia="Times New Roman" w:hAnsi="Times New Roman"/>
          <w:sz w:val="17"/>
          <w:szCs w:val="17"/>
          <w:color w:val="auto"/>
        </w:rPr>
        <w:t xml:space="preserve">We are a clinical-stage cell therapy company advancing a pipeline of product candidates for patients with solid tumors utilizing our proprietary </w:t>
      </w:r>
      <w:r>
        <w:rPr>
          <w:rFonts w:ascii="Times New Roman" w:cs="Times New Roman" w:eastAsia="Times New Roman" w:hAnsi="Times New Roman"/>
          <w:sz w:val="17"/>
          <w:szCs w:val="17"/>
          <w:i w:val="1"/>
          <w:iCs w:val="1"/>
          <w:color w:val="auto"/>
        </w:rPr>
        <w:t>ex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vivo </w:t>
      </w:r>
      <w:r>
        <w:rPr>
          <w:rFonts w:ascii="Times New Roman" w:cs="Times New Roman" w:eastAsia="Times New Roman" w:hAnsi="Times New Roman"/>
          <w:sz w:val="17"/>
          <w:szCs w:val="17"/>
          <w:color w:val="auto"/>
        </w:rPr>
        <w:t>genetic and epigenetic 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cell reprogramming technologies. Our investigational therapies use the patient’s own cells as the starting point to generate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highly tumor-reactive, longer-lasting functional T cells with enhanced ability to defeat solid tumors. Our innovative reprogramming technologies address what we believe are the primary barriers that limit consistent and long-lasting responses to 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cell therapy in solid tumors: 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cell exhaustion and lack of durable stemness. Our technologies are designed to generate T cells with the ability to persist and self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renew while driving durable tumor cytotoxicity, even in the setting of an immunosuppressive tumor microenvironment. The goal is for our technologies to provide patients with T cells that are potent and long-lasting</w:t>
      </w:r>
    </w:p>
    <w:p>
      <w:pPr>
        <w:spacing w:after="0" w:line="3" w:lineRule="exact"/>
        <w:rPr>
          <w:sz w:val="20"/>
          <w:szCs w:val="20"/>
          <w:color w:val="auto"/>
        </w:rPr>
      </w:pPr>
    </w:p>
    <w:p>
      <w:pPr>
        <w:ind w:right="540"/>
        <w:spacing w:after="0" w:line="241" w:lineRule="exact"/>
        <w:rPr>
          <w:sz w:val="20"/>
          <w:szCs w:val="20"/>
          <w:color w:val="auto"/>
        </w:rPr>
      </w:pPr>
      <w:r>
        <w:rPr>
          <w:rFonts w:ascii="Times New Roman" w:cs="Times New Roman" w:eastAsia="Times New Roman" w:hAnsi="Times New Roman"/>
          <w:sz w:val="18"/>
          <w:szCs w:val="18"/>
          <w:color w:val="auto"/>
        </w:rPr>
        <w:t>enough to achieve durable antitumor responses. Furthermore, our technologies can be applied in a target agnostic manner to multiple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modalities, including chimeric antigen receptor (CAR), tumor-infiltrating lymphocytes (TIL) and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receptor (TCR) therapies.</w:t>
      </w:r>
    </w:p>
    <w:p>
      <w:pPr>
        <w:spacing w:after="0" w:line="41" w:lineRule="exact"/>
        <w:rPr>
          <w:sz w:val="20"/>
          <w:szCs w:val="20"/>
          <w:color w:val="auto"/>
        </w:rPr>
      </w:pPr>
    </w:p>
    <w:p>
      <w:pPr>
        <w:ind w:right="60" w:firstLine="636"/>
        <w:spacing w:after="0" w:line="228" w:lineRule="exact"/>
        <w:rPr>
          <w:sz w:val="20"/>
          <w:szCs w:val="20"/>
          <w:color w:val="auto"/>
        </w:rPr>
      </w:pPr>
      <w:r>
        <w:rPr>
          <w:rFonts w:ascii="Times New Roman" w:cs="Times New Roman" w:eastAsia="Times New Roman" w:hAnsi="Times New Roman"/>
          <w:sz w:val="18"/>
          <w:szCs w:val="18"/>
          <w:color w:val="auto"/>
        </w:rPr>
        <w:t>We apply our technologies with the aim to develop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therapies with improved durable clinical outcomes. Our growing pipeline of promising cell product candidates targets solid tumor indications with large unmet needs that are collectively responsible for approximately 180,000 deaths in the US annually. Each of our programs provide opportunities to expand into additional indications beyond the patient populations we are initially targeting.</w:t>
      </w:r>
    </w:p>
    <w:p>
      <w:pPr>
        <w:spacing w:after="0" w:line="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additional information regarding our business, see “Business” in Part I, Item 1 of this Annual Report on Form 10-K.</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 Programs and Operational Updates</w:t>
      </w:r>
    </w:p>
    <w:p>
      <w:pPr>
        <w:spacing w:after="0" w:line="11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We are advancing four wholly-owned product candidates; two product candidates, LYL797 and LYL845, are in Phase 1 clinical development and two additional product candidates, LYL119 and a TIL product candidate incorporating novel genetic and epigenetic reprogramming technologies, are in preclinical development.</w:t>
      </w:r>
    </w:p>
    <w:p>
      <w:pPr>
        <w:spacing w:after="0" w:line="68"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LYL797 – A ROR1 CAR T-cell product candidate genetically reprogrammed using c-Jun and epigenetically reprogrammed using our proprietary Epi-R manufacturing protocol, designed for differentiated potency and durability</w:t>
      </w:r>
    </w:p>
    <w:p>
      <w:pPr>
        <w:spacing w:after="0" w:line="54" w:lineRule="exact"/>
        <w:rPr>
          <w:sz w:val="20"/>
          <w:szCs w:val="20"/>
          <w:color w:val="auto"/>
        </w:rPr>
      </w:pPr>
    </w:p>
    <w:p>
      <w:pPr>
        <w:ind w:left="640" w:right="260" w:hanging="316"/>
        <w:spacing w:after="0" w:line="274"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in the Phase 1 clinical trial of LYL797 is ongoing. Initial clinical data from the Phase 1 trial of LYL797 are expected in the first half of 2024.</w:t>
      </w:r>
    </w:p>
    <w:p>
      <w:pPr>
        <w:spacing w:after="0" w:line="57" w:lineRule="exact"/>
        <w:rPr>
          <w:rFonts w:ascii="Times New Roman" w:cs="Times New Roman" w:eastAsia="Times New Roman" w:hAnsi="Times New Roman"/>
          <w:sz w:val="18"/>
          <w:szCs w:val="18"/>
          <w:color w:val="auto"/>
        </w:rPr>
      </w:pPr>
    </w:p>
    <w:p>
      <w:pPr>
        <w:jc w:val="both"/>
        <w:ind w:left="640" w:right="60" w:hanging="316"/>
        <w:spacing w:after="0" w:line="282" w:lineRule="auto"/>
        <w:tabs>
          <w:tab w:leader="none" w:pos="63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Presented nonclinical data at the American Association of Cancer Research 2022 Annual Meeting characterizing LYL797 and demonstrating that our c-Jun overexpression and Epi-R reprogramming technologies can overcome barriers of T-cell exhaustion and lack of durable stemness in engineered T cells using a set of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models, including an aggressive syngeneic mouse tumor model and a xenograft lung cancer model.</w:t>
      </w:r>
    </w:p>
    <w:p>
      <w:pPr>
        <w:spacing w:after="0" w:line="52" w:lineRule="exact"/>
        <w:rPr>
          <w:rFonts w:ascii="Times New Roman" w:cs="Times New Roman" w:eastAsia="Times New Roman" w:hAnsi="Times New Roman"/>
          <w:sz w:val="17"/>
          <w:szCs w:val="17"/>
          <w:color w:val="auto"/>
        </w:rPr>
      </w:pPr>
    </w:p>
    <w:p>
      <w:pPr>
        <w:ind w:left="640" w:right="180" w:hanging="316"/>
        <w:spacing w:after="0" w:line="259"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nonclinical data demonstrating LYL797 showed improved expansion and anti-tumor activity and prolonged survival compared to conventional ROR1 CAR T cells in an established human ROR1-positive H1975 mouse xenograft model at the American Society of Gene and Cell Therapy Annual Meeting.</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LYL119 – An innovative ROR1 CAR T-cell product designed for enhanced cytotoxicity</w:t>
      </w:r>
    </w:p>
    <w:p>
      <w:pPr>
        <w:spacing w:after="0" w:line="115" w:lineRule="exact"/>
        <w:rPr>
          <w:sz w:val="20"/>
          <w:szCs w:val="20"/>
          <w:color w:val="auto"/>
        </w:rPr>
      </w:pPr>
    </w:p>
    <w:p>
      <w:pPr>
        <w:ind w:left="640" w:hanging="316"/>
        <w:spacing w:after="0" w:line="259"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LYL119 incorporates four of our stackable reprogramming technologies, including two novel technologies – a genetic knockout of NR4A3 and Stim-R. These technologies, which are complementary to c-Jun and Epi-R, are designed to further improve the anti-tumor potency and durability of T-cells.</w:t>
      </w:r>
    </w:p>
    <w:p>
      <w:pPr>
        <w:spacing w:after="0" w:line="7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 for LYL119 is expected to be submitted in the first half of 2024.</w:t>
      </w:r>
    </w:p>
    <w:p>
      <w:pPr>
        <w:spacing w:after="0" w:line="111" w:lineRule="exact"/>
        <w:rPr>
          <w:rFonts w:ascii="Times New Roman" w:cs="Times New Roman" w:eastAsia="Times New Roman" w:hAnsi="Times New Roman"/>
          <w:sz w:val="18"/>
          <w:szCs w:val="18"/>
          <w:color w:val="auto"/>
        </w:rPr>
      </w:pPr>
    </w:p>
    <w:p>
      <w:pPr>
        <w:ind w:left="640" w:right="220" w:hanging="316"/>
        <w:spacing w:after="0" w:line="255"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Presented nonclinical data demonstrating that the combination of two genetic reprogramming technologies, NR4A3 gene knockout and c-Jun overexpression, enhances the functional activity of ROR1 CAR T cells as shown by higher levels of cytokine production, increased CAR T-cell persistence and reduced surface expression of inhibitory receptors after repetitive antigen stimulation, as well as significant improvement in tumor control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at The Society for Immunotherapy of Cancer 2022 Annual Meeting (SITC 2022).</w:t>
      </w:r>
    </w:p>
    <w:p>
      <w:pPr>
        <w:spacing w:after="0" w:line="74" w:lineRule="exact"/>
        <w:rPr>
          <w:rFonts w:ascii="Times New Roman" w:cs="Times New Roman" w:eastAsia="Times New Roman" w:hAnsi="Times New Roman"/>
          <w:sz w:val="18"/>
          <w:szCs w:val="18"/>
          <w:color w:val="auto"/>
        </w:rPr>
      </w:pPr>
    </w:p>
    <w:p>
      <w:pPr>
        <w:ind w:left="640" w:right="100" w:hanging="316"/>
        <w:spacing w:after="0" w:line="259"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Presented nonclinical data at SITC 2022 demonstrating that our proprietary Stim-R epigenetic reprogramming technology, which enables precise control and optimized delivery of activation molecules during T-cell production, generates potent CAR T-cell product candidates with increased cell proliferation and persistence, as well as improved tumor control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LYL845 – A novel epigenetically reprogrammed TIL product candidate designed for differentiated potency and durability</w:t>
      </w:r>
    </w:p>
    <w:p>
      <w:pPr>
        <w:spacing w:after="0" w:line="115" w:lineRule="exact"/>
        <w:rPr>
          <w:sz w:val="20"/>
          <w:szCs w:val="20"/>
          <w:color w:val="auto"/>
        </w:rPr>
      </w:pPr>
    </w:p>
    <w:p>
      <w:pPr>
        <w:ind w:left="640" w:right="280" w:hanging="316"/>
        <w:spacing w:after="0" w:line="274"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clearance of the IND for LYL845 in October 2022; enrollment in the Phase 1 clinical trial for LYL845 is ongoing. Initial clinical data from the Phase 1 trial of LYL845 are expected in 2024.</w:t>
      </w:r>
    </w:p>
    <w:p>
      <w:pPr>
        <w:spacing w:after="0" w:line="57" w:lineRule="exact"/>
        <w:rPr>
          <w:rFonts w:ascii="Times New Roman" w:cs="Times New Roman" w:eastAsia="Times New Roman" w:hAnsi="Times New Roman"/>
          <w:sz w:val="18"/>
          <w:szCs w:val="18"/>
          <w:color w:val="auto"/>
        </w:rPr>
      </w:pPr>
    </w:p>
    <w:p>
      <w:pPr>
        <w:ind w:left="640" w:right="180" w:hanging="316"/>
        <w:spacing w:after="0" w:line="255"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nonclinical data at SITC 2022 demonstrating the ability of Lyell’s Epi-R technology to successfully expand TIL in both hot and cold tumors and to retain qualities linked with anti-tumor functionality and improved outcomes in previous TIL clinical trials. These qualities present in our Epi-R TIL include a greater proportion of CD8+ T cells, enrichment for T cells with stem-like profiles, better metabolic fitness and preserved polyclonality compared to control TIL preparations.</w:t>
      </w:r>
    </w:p>
    <w:p>
      <w:pPr>
        <w:spacing w:after="0" w:line="74" w:lineRule="exact"/>
        <w:rPr>
          <w:rFonts w:ascii="Times New Roman" w:cs="Times New Roman" w:eastAsia="Times New Roman" w:hAnsi="Times New Roman"/>
          <w:sz w:val="18"/>
          <w:szCs w:val="18"/>
          <w:color w:val="auto"/>
        </w:rPr>
      </w:pPr>
    </w:p>
    <w:p>
      <w:pPr>
        <w:ind w:left="640" w:hanging="316"/>
        <w:spacing w:after="0" w:line="221" w:lineRule="exact"/>
        <w:tabs>
          <w:tab w:leader="none" w:pos="63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Presented bioinformatic analyses, including comprehensive analyses of transcriptomic profiles, polyclonality and prediction of tumor-reactive T cell clones in our LYL845 product candidate, at SITC 2022. These analyses demonstrated that LYL845 expanded at clinical scale using Epi-R technology remained highly polyclonal and preserved approximately 94% of the predicted tumor reactive clones. Further, the preserved predicted tumor reactive clones in LYL845 have increased stemness and reduced exhaustion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associated genes compared to TIL products derived from the standard process.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Operational Updates</w:t>
      </w:r>
    </w:p>
    <w:p>
      <w:pPr>
        <w:spacing w:after="0" w:line="115" w:lineRule="exact"/>
        <w:rPr>
          <w:sz w:val="20"/>
          <w:szCs w:val="20"/>
          <w:color w:val="auto"/>
        </w:rPr>
      </w:pPr>
    </w:p>
    <w:p>
      <w:pPr>
        <w:ind w:left="640" w:right="20" w:hanging="316"/>
        <w:spacing w:after="0" w:line="259"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Lynn Seely, M.D., a member of the company’s board since May 2021 and former President and CEO of Myovant Sciences, was named President and CEO. Dr. Seely has extensive biopharmaceutical leadership experience with a track record of success building companies and developing new medicines in oncology and women’s health.</w:t>
      </w:r>
    </w:p>
    <w:p>
      <w:pPr>
        <w:spacing w:after="0" w:line="71" w:lineRule="exact"/>
        <w:rPr>
          <w:rFonts w:ascii="Times New Roman" w:cs="Times New Roman" w:eastAsia="Times New Roman" w:hAnsi="Times New Roman"/>
          <w:sz w:val="18"/>
          <w:szCs w:val="18"/>
          <w:color w:val="auto"/>
        </w:rPr>
      </w:pPr>
    </w:p>
    <w:p>
      <w:pPr>
        <w:ind w:left="640" w:right="340" w:hanging="316"/>
        <w:spacing w:after="0" w:line="274"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Rahsaan W. Thompson was named Chief Legal Officer. Mr. Thompson is a biopharmaceutical industry veteran with more than 20 years of experience with development stage and commercial companies.</w:t>
      </w:r>
    </w:p>
    <w:p>
      <w:pPr>
        <w:spacing w:after="0" w:line="57" w:lineRule="exact"/>
        <w:rPr>
          <w:rFonts w:ascii="Times New Roman" w:cs="Times New Roman" w:eastAsia="Times New Roman" w:hAnsi="Times New Roman"/>
          <w:sz w:val="18"/>
          <w:szCs w:val="18"/>
          <w:color w:val="auto"/>
        </w:rPr>
      </w:pPr>
    </w:p>
    <w:p>
      <w:pPr>
        <w:ind w:left="640" w:right="180" w:hanging="316"/>
        <w:spacing w:after="0" w:line="274"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Gary Lee, Ph.D. was named Chief Scientific Officer. Dr. Lee is a veteran biotech leader with more than a decade of experience heading translational cell and gene therapy programs.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Environment</w:t>
      </w:r>
    </w:p>
    <w:p>
      <w:pPr>
        <w:spacing w:after="0" w:line="113" w:lineRule="exact"/>
        <w:rPr>
          <w:sz w:val="20"/>
          <w:szCs w:val="20"/>
          <w:color w:val="auto"/>
        </w:rPr>
      </w:pPr>
    </w:p>
    <w:p>
      <w:pPr>
        <w:ind w:right="180" w:firstLine="636"/>
        <w:spacing w:after="0" w:line="252" w:lineRule="auto"/>
        <w:rPr>
          <w:sz w:val="20"/>
          <w:szCs w:val="20"/>
          <w:color w:val="auto"/>
        </w:rPr>
      </w:pPr>
      <w:r>
        <w:rPr>
          <w:rFonts w:ascii="Times New Roman" w:cs="Times New Roman" w:eastAsia="Times New Roman" w:hAnsi="Times New Roman"/>
          <w:sz w:val="18"/>
          <w:szCs w:val="18"/>
          <w:color w:val="auto"/>
        </w:rPr>
        <w:t>Our business and operations may be affected by worldwide economic conditions, which may continue to be impacted by global macroeconomic challenges such as the effects of the ongoing geopolitical conflicts in Ukraine, tensions in U.S.-China relations, the COVID-19 pandemic, uncertainty in the markets and inflationary trends. Fiscal year 2022 was marked by significant market uncertainty, increasing inflationary pressures, supply constraints and ongoing effects from the COVID-19 pandemic. These market dynamics may continue into 2023 and these and similar adverse market conditions may negatively impact our business.</w:t>
      </w:r>
    </w:p>
    <w:p>
      <w:pPr>
        <w:spacing w:after="0" w:line="79" w:lineRule="exact"/>
        <w:rPr>
          <w:sz w:val="20"/>
          <w:szCs w:val="20"/>
          <w:color w:val="auto"/>
        </w:rPr>
      </w:pPr>
    </w:p>
    <w:p>
      <w:pPr>
        <w:ind w:right="80" w:firstLine="636"/>
        <w:spacing w:after="0" w:line="255" w:lineRule="auto"/>
        <w:rPr>
          <w:sz w:val="20"/>
          <w:szCs w:val="20"/>
          <w:color w:val="auto"/>
        </w:rPr>
      </w:pPr>
      <w:r>
        <w:rPr>
          <w:rFonts w:ascii="Times New Roman" w:cs="Times New Roman" w:eastAsia="Times New Roman" w:hAnsi="Times New Roman"/>
          <w:sz w:val="18"/>
          <w:szCs w:val="18"/>
          <w:color w:val="auto"/>
        </w:rPr>
        <w:t>In particular, as the global COVID-19 pandemic and its effects continue to evolve, the extent of the impact of the COVID-19 pandemic on our business, operations and development timelines and plans remains uncertain and will continue to depend on certain developments, including the duration and spread of the outbreak, other next-level effects and the impact on our CROs, contract manufacturing organizations, clinical sites and other third parties with whom we do business, as well as the impact on regulatory authorities and our key scientific and management personnel.</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 w:firstLine="636"/>
        <w:spacing w:after="0" w:line="251" w:lineRule="auto"/>
        <w:rPr>
          <w:sz w:val="20"/>
          <w:szCs w:val="20"/>
          <w:color w:val="auto"/>
        </w:rPr>
      </w:pPr>
      <w:r>
        <w:rPr>
          <w:rFonts w:ascii="Times New Roman" w:cs="Times New Roman" w:eastAsia="Times New Roman" w:hAnsi="Times New Roman"/>
          <w:sz w:val="18"/>
          <w:szCs w:val="18"/>
          <w:color w:val="auto"/>
        </w:rPr>
        <w:t>There can be no assurance that we will be able to avoid materially adverse impacts from the effects of the COVID-19 pandemic. The effects of the COVID-19 pandemic may continue to negatively impact healthcare and hospital resources, including both front-line and administrative staff, which may delay enrollment in our current and planned clinical trials. Some patients may not be able to comply with clinical trial protocols due to potential quarantines, lack of healthcare support or potential interruptions of healthcare services, and we may be unable to obtain blood samples for testing. For example, limitations or modifications in surgery scheduling for oncology patients at collaborating institutions has limited and may continue to limit supply of patient tumor samples that we use in our research.</w:t>
      </w:r>
    </w:p>
    <w:p>
      <w:pPr>
        <w:spacing w:after="0" w:line="79" w:lineRule="exact"/>
        <w:rPr>
          <w:sz w:val="20"/>
          <w:szCs w:val="20"/>
          <w:color w:val="auto"/>
        </w:rPr>
      </w:pPr>
    </w:p>
    <w:p>
      <w:pPr>
        <w:ind w:right="300" w:firstLine="636"/>
        <w:spacing w:after="0" w:line="274" w:lineRule="auto"/>
        <w:rPr>
          <w:sz w:val="20"/>
          <w:szCs w:val="20"/>
          <w:color w:val="auto"/>
        </w:rPr>
      </w:pPr>
      <w:r>
        <w:rPr>
          <w:rFonts w:ascii="Times New Roman" w:cs="Times New Roman" w:eastAsia="Times New Roman" w:hAnsi="Times New Roman"/>
          <w:sz w:val="18"/>
          <w:szCs w:val="18"/>
          <w:color w:val="auto"/>
        </w:rPr>
        <w:t>For a further discussion of trends, uncertainties and other factors that could impact our operating results, see the section entitled “Risk Factors” in Part I, Item 1A of this Annual Report on Form 10-K.</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Collaboration and Success Payment Agreements</w:t>
      </w:r>
    </w:p>
    <w:p>
      <w:pPr>
        <w:spacing w:after="0" w:line="217" w:lineRule="exact"/>
        <w:rPr>
          <w:sz w:val="20"/>
          <w:szCs w:val="20"/>
          <w:color w:val="auto"/>
        </w:rPr>
      </w:pPr>
    </w:p>
    <w:p>
      <w:pPr>
        <w:ind w:right="40" w:firstLine="636"/>
        <w:spacing w:after="0" w:line="220" w:lineRule="exact"/>
        <w:rPr>
          <w:sz w:val="20"/>
          <w:szCs w:val="20"/>
          <w:color w:val="auto"/>
        </w:rPr>
      </w:pPr>
      <w:r>
        <w:rPr>
          <w:rFonts w:ascii="Times New Roman" w:cs="Times New Roman" w:eastAsia="Times New Roman" w:hAnsi="Times New Roman"/>
          <w:sz w:val="18"/>
          <w:szCs w:val="18"/>
          <w:color w:val="auto"/>
        </w:rPr>
        <w:t>For a detailed description of our license, collaboration and success payment agreements, see the section titled “</w:t>
      </w:r>
      <w:r>
        <w:rPr>
          <w:rFonts w:ascii="Times New Roman" w:cs="Times New Roman" w:eastAsia="Times New Roman" w:hAnsi="Times New Roman"/>
          <w:sz w:val="18"/>
          <w:szCs w:val="18"/>
          <w:i w:val="1"/>
          <w:iCs w:val="1"/>
          <w:color w:val="auto"/>
        </w:rPr>
        <w:t>Business—License, Collaboration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 Payment Agreements</w:t>
      </w:r>
      <w:r>
        <w:rPr>
          <w:rFonts w:ascii="Times New Roman" w:cs="Times New Roman" w:eastAsia="Times New Roman" w:hAnsi="Times New Roman"/>
          <w:sz w:val="18"/>
          <w:szCs w:val="18"/>
          <w:color w:val="auto"/>
        </w:rPr>
        <w:t>” in Part I, Item 1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Notes 2 and 3 to our audited consolidated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Part II, Item 8 of this Annual Report on Form 10-K.</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have no products approved for sale and have never generated any revenue from product sales.</w:t>
      </w:r>
    </w:p>
    <w:p>
      <w:pPr>
        <w:spacing w:after="0" w:line="111" w:lineRule="exact"/>
        <w:rPr>
          <w:sz w:val="20"/>
          <w:szCs w:val="20"/>
          <w:color w:val="auto"/>
        </w:rPr>
      </w:pPr>
    </w:p>
    <w:p>
      <w:pPr>
        <w:ind w:right="200" w:firstLine="636"/>
        <w:spacing w:after="0" w:line="274" w:lineRule="auto"/>
        <w:rPr>
          <w:sz w:val="20"/>
          <w:szCs w:val="20"/>
          <w:color w:val="auto"/>
        </w:rPr>
      </w:pPr>
      <w:r>
        <w:rPr>
          <w:rFonts w:ascii="Times New Roman" w:cs="Times New Roman" w:eastAsia="Times New Roman" w:hAnsi="Times New Roman"/>
          <w:sz w:val="17"/>
          <w:szCs w:val="17"/>
          <w:color w:val="auto"/>
        </w:rPr>
        <w:t xml:space="preserve">We have generated revenue primarily from the recognition of the upfront payment under the GSK Agreement, entered into in 2019 and amended in June 2020 and December 2021 with GSK. GSK terminated the GSK Agreement effective December 2022 and we do not expect further revenue from the collaboration. See Note 3, </w:t>
      </w:r>
      <w:r>
        <w:rPr>
          <w:rFonts w:ascii="Times New Roman" w:cs="Times New Roman" w:eastAsia="Times New Roman" w:hAnsi="Times New Roman"/>
          <w:sz w:val="17"/>
          <w:szCs w:val="17"/>
          <w:i w:val="1"/>
          <w:iCs w:val="1"/>
          <w:color w:val="auto"/>
        </w:rPr>
        <w:t>License, Collaboration and Success Payment Agreements</w:t>
      </w:r>
      <w:r>
        <w:rPr>
          <w:rFonts w:ascii="Times New Roman" w:cs="Times New Roman" w:eastAsia="Times New Roman" w:hAnsi="Times New Roman"/>
          <w:sz w:val="17"/>
          <w:szCs w:val="17"/>
          <w:color w:val="auto"/>
        </w:rPr>
        <w:t>, in the accompanying notes to our audited consolidated financial statements included in Part II, Item 8 of this Annual Report on Form 10-K for additional details regarding termination of the GSK Agreement.</w:t>
      </w:r>
    </w:p>
    <w:p>
      <w:pPr>
        <w:spacing w:after="0" w:line="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 the future, we may generate additional revenue from other collaborations, strategic alliances, licensing agreements, product sales, or a combination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3" w:lineRule="exact"/>
        <w:rPr>
          <w:sz w:val="20"/>
          <w:szCs w:val="20"/>
          <w:color w:val="auto"/>
        </w:rPr>
      </w:pPr>
    </w:p>
    <w:p>
      <w:pPr>
        <w:ind w:firstLine="636"/>
        <w:spacing w:after="0" w:line="252" w:lineRule="auto"/>
        <w:rPr>
          <w:sz w:val="20"/>
          <w:szCs w:val="20"/>
          <w:color w:val="auto"/>
        </w:rPr>
      </w:pPr>
      <w:r>
        <w:rPr>
          <w:rFonts w:ascii="Times New Roman" w:cs="Times New Roman" w:eastAsia="Times New Roman" w:hAnsi="Times New Roman"/>
          <w:sz w:val="18"/>
          <w:szCs w:val="18"/>
          <w:color w:val="auto"/>
        </w:rPr>
        <w:t>To date, research and development expenses consist of costs incurred by us for the discovery and development of our technology platforms and product candidates, and include costs incurred in connection with strategic collaborations, costs to license technology, personnel-related costs, including stock-based compensation expense, facility and technology related costs, research and laboratory expenses, as well as other expenses, which include consulting fees and other costs. Upfront payments and milestones paid to third parties in connection with technology platforms that have not reached technological feasibility and do not have an alternative future use are expensed as incurred.</w:t>
      </w:r>
    </w:p>
    <w:p>
      <w:pPr>
        <w:spacing w:after="0" w:line="79" w:lineRule="exact"/>
        <w:rPr>
          <w:sz w:val="20"/>
          <w:szCs w:val="20"/>
          <w:color w:val="auto"/>
        </w:rPr>
      </w:pPr>
    </w:p>
    <w:p>
      <w:pPr>
        <w:jc w:val="both"/>
        <w:ind w:right="80" w:firstLine="636"/>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also include non-cash expenses related to the change in the estimated fair value of the liabilities associated with our success payments granted to Fred Hutch and Stanford. See the subsection titled “Critical Accounting Policies and Estimates—</w:t>
      </w:r>
      <w:r>
        <w:rPr>
          <w:rFonts w:ascii="Times New Roman" w:cs="Times New Roman" w:eastAsia="Times New Roman" w:hAnsi="Times New Roman"/>
          <w:sz w:val="18"/>
          <w:szCs w:val="18"/>
          <w:i w:val="1"/>
          <w:iCs w:val="1"/>
          <w:color w:val="auto"/>
        </w:rPr>
        <w:t>Success Payments</w:t>
      </w:r>
      <w:r>
        <w:rPr>
          <w:rFonts w:ascii="Times New Roman" w:cs="Times New Roman" w:eastAsia="Times New Roman" w:hAnsi="Times New Roman"/>
          <w:sz w:val="18"/>
          <w:szCs w:val="18"/>
          <w:color w:val="auto"/>
        </w:rPr>
        <w:t>” below. Research and development expenses related to our success payment liabilities are unpredictable and may vary significantly from quarter-to-quarter and year-to-year due to changes in our assumptions used in the calculation.</w:t>
      </w:r>
    </w:p>
    <w:p>
      <w:pPr>
        <w:spacing w:after="0" w:line="74" w:lineRule="exact"/>
        <w:rPr>
          <w:sz w:val="20"/>
          <w:szCs w:val="20"/>
          <w:color w:val="auto"/>
        </w:rPr>
      </w:pPr>
    </w:p>
    <w:p>
      <w:pPr>
        <w:ind w:right="320" w:firstLine="636"/>
        <w:spacing w:after="0" w:line="255" w:lineRule="auto"/>
        <w:rPr>
          <w:sz w:val="20"/>
          <w:szCs w:val="20"/>
          <w:color w:val="auto"/>
        </w:rPr>
      </w:pPr>
      <w:r>
        <w:rPr>
          <w:rFonts w:ascii="Times New Roman" w:cs="Times New Roman" w:eastAsia="Times New Roman" w:hAnsi="Times New Roman"/>
          <w:sz w:val="18"/>
          <w:szCs w:val="18"/>
          <w:color w:val="auto"/>
        </w:rPr>
        <w:t>We deploy our employee and infrastructure resources across multiple research and development programs for identifying and developing product candidates and establishing manufacturing capabilities. Due to the stage of development and number of ongoing programs and our ability to use resources across several programs, most of our research and development costs are not recorded on a program-specific basis. These include costs for personnel, laboratory and other indirect facility and operating costs.</w:t>
      </w:r>
    </w:p>
    <w:p>
      <w:pPr>
        <w:spacing w:after="0" w:line="74" w:lineRule="exact"/>
        <w:rPr>
          <w:sz w:val="20"/>
          <w:szCs w:val="20"/>
          <w:color w:val="auto"/>
        </w:rPr>
      </w:pPr>
    </w:p>
    <w:p>
      <w:pPr>
        <w:ind w:right="140" w:firstLine="636"/>
        <w:spacing w:after="0" w:line="252"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We anticipate that our research and development expenses will increase over the foreseeable future as we expand our research and development efforts including completing nonclinical studies, commencing planned clinical trials, conducting and completing current and planned clinical trials, seeking regulatory approval of our product candidates, identifying new product candidates and incurring costs to acquire and license technology platforms. A change in the outcome of any of these variables could mean a significant change in the costs and timing associated with the development of our product</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160"/>
        <w:spacing w:after="0" w:line="259" w:lineRule="auto"/>
        <w:rPr>
          <w:sz w:val="20"/>
          <w:szCs w:val="20"/>
          <w:color w:val="auto"/>
        </w:rPr>
      </w:pPr>
      <w:r>
        <w:rPr>
          <w:rFonts w:ascii="Times New Roman" w:cs="Times New Roman" w:eastAsia="Times New Roman" w:hAnsi="Times New Roman"/>
          <w:sz w:val="18"/>
          <w:szCs w:val="18"/>
          <w:color w:val="auto"/>
        </w:rPr>
        <w:t>candidates. Because we are early in our research and development efforts and beginning clinical development of our product candidates, and the outcome of these efforts is uncertain, we cannot estimate the actual amounts necessary to successfully complete the nonclinical development, clinical development and commercialization of product candidates or whether, or when, we may achieve profitability.</w:t>
      </w:r>
    </w:p>
    <w:p>
      <w:pPr>
        <w:spacing w:after="0" w:line="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research and development expenses may vary significantly based on factors such as:</w:t>
      </w:r>
    </w:p>
    <w:p>
      <w:pPr>
        <w:spacing w:after="0" w:line="111" w:lineRule="exact"/>
        <w:rPr>
          <w:sz w:val="20"/>
          <w:szCs w:val="20"/>
          <w:color w:val="auto"/>
        </w:rPr>
      </w:pPr>
    </w:p>
    <w:p>
      <w:pPr>
        <w:ind w:left="880" w:hanging="238"/>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nonclinical and IND-enabling studies;</w:t>
      </w:r>
    </w:p>
    <w:p>
      <w:pPr>
        <w:spacing w:after="0" w:line="111" w:lineRule="exact"/>
        <w:rPr>
          <w:rFonts w:ascii="Times New Roman" w:cs="Times New Roman" w:eastAsia="Times New Roman" w:hAnsi="Times New Roman"/>
          <w:sz w:val="18"/>
          <w:szCs w:val="18"/>
          <w:color w:val="auto"/>
        </w:rPr>
      </w:pPr>
    </w:p>
    <w:p>
      <w:pPr>
        <w:ind w:left="880" w:hanging="238"/>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1" w:lineRule="exact"/>
        <w:rPr>
          <w:rFonts w:ascii="Times New Roman" w:cs="Times New Roman" w:eastAsia="Times New Roman" w:hAnsi="Times New Roman"/>
          <w:sz w:val="18"/>
          <w:szCs w:val="18"/>
          <w:color w:val="auto"/>
        </w:rPr>
      </w:pPr>
    </w:p>
    <w:p>
      <w:pPr>
        <w:ind w:left="880" w:hanging="238"/>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1" w:lineRule="exact"/>
        <w:rPr>
          <w:rFonts w:ascii="Times New Roman" w:cs="Times New Roman" w:eastAsia="Times New Roman" w:hAnsi="Times New Roman"/>
          <w:sz w:val="18"/>
          <w:szCs w:val="18"/>
          <w:color w:val="auto"/>
        </w:rPr>
      </w:pPr>
    </w:p>
    <w:p>
      <w:pPr>
        <w:ind w:left="880" w:hanging="238"/>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1" w:lineRule="exact"/>
        <w:rPr>
          <w:rFonts w:ascii="Times New Roman" w:cs="Times New Roman" w:eastAsia="Times New Roman" w:hAnsi="Times New Roman"/>
          <w:sz w:val="18"/>
          <w:szCs w:val="18"/>
          <w:color w:val="auto"/>
        </w:rPr>
      </w:pPr>
    </w:p>
    <w:p>
      <w:pPr>
        <w:ind w:left="880" w:hanging="238"/>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1" w:lineRule="exact"/>
        <w:rPr>
          <w:rFonts w:ascii="Times New Roman" w:cs="Times New Roman" w:eastAsia="Times New Roman" w:hAnsi="Times New Roman"/>
          <w:sz w:val="18"/>
          <w:szCs w:val="18"/>
          <w:color w:val="auto"/>
        </w:rPr>
      </w:pPr>
    </w:p>
    <w:p>
      <w:pPr>
        <w:ind w:left="880" w:hanging="238"/>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1" w:lineRule="exact"/>
        <w:rPr>
          <w:rFonts w:ascii="Times New Roman" w:cs="Times New Roman" w:eastAsia="Times New Roman" w:hAnsi="Times New Roman"/>
          <w:sz w:val="18"/>
          <w:szCs w:val="18"/>
          <w:color w:val="auto"/>
        </w:rPr>
      </w:pPr>
    </w:p>
    <w:p>
      <w:pPr>
        <w:ind w:left="880" w:hanging="238"/>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11" w:lineRule="exact"/>
        <w:rPr>
          <w:rFonts w:ascii="Times New Roman" w:cs="Times New Roman" w:eastAsia="Times New Roman" w:hAnsi="Times New Roman"/>
          <w:sz w:val="18"/>
          <w:szCs w:val="18"/>
          <w:color w:val="auto"/>
        </w:rPr>
      </w:pPr>
    </w:p>
    <w:p>
      <w:pPr>
        <w:ind w:left="880" w:hanging="238"/>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1" w:lineRule="exact"/>
        <w:rPr>
          <w:rFonts w:ascii="Times New Roman" w:cs="Times New Roman" w:eastAsia="Times New Roman" w:hAnsi="Times New Roman"/>
          <w:sz w:val="18"/>
          <w:szCs w:val="18"/>
          <w:color w:val="auto"/>
        </w:rPr>
      </w:pPr>
    </w:p>
    <w:p>
      <w:pPr>
        <w:ind w:left="880" w:hanging="238"/>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1" w:lineRule="exact"/>
        <w:rPr>
          <w:rFonts w:ascii="Times New Roman" w:cs="Times New Roman" w:eastAsia="Times New Roman" w:hAnsi="Times New Roman"/>
          <w:sz w:val="18"/>
          <w:szCs w:val="18"/>
          <w:color w:val="auto"/>
        </w:rPr>
      </w:pPr>
    </w:p>
    <w:p>
      <w:pPr>
        <w:ind w:left="880" w:hanging="238"/>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11" w:lineRule="exact"/>
        <w:rPr>
          <w:rFonts w:ascii="Times New Roman" w:cs="Times New Roman" w:eastAsia="Times New Roman" w:hAnsi="Times New Roman"/>
          <w:sz w:val="18"/>
          <w:szCs w:val="18"/>
          <w:color w:val="auto"/>
        </w:rPr>
      </w:pPr>
    </w:p>
    <w:p>
      <w:pPr>
        <w:ind w:left="880" w:hanging="238"/>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our product candidates;</w:t>
      </w:r>
    </w:p>
    <w:p>
      <w:pPr>
        <w:spacing w:after="0" w:line="111" w:lineRule="exact"/>
        <w:rPr>
          <w:rFonts w:ascii="Times New Roman" w:cs="Times New Roman" w:eastAsia="Times New Roman" w:hAnsi="Times New Roman"/>
          <w:sz w:val="18"/>
          <w:szCs w:val="18"/>
          <w:color w:val="auto"/>
        </w:rPr>
      </w:pPr>
    </w:p>
    <w:p>
      <w:pPr>
        <w:ind w:left="880" w:hanging="238"/>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our product candidates;</w:t>
      </w:r>
    </w:p>
    <w:p>
      <w:pPr>
        <w:spacing w:after="0" w:line="111" w:lineRule="exact"/>
        <w:rPr>
          <w:rFonts w:ascii="Times New Roman" w:cs="Times New Roman" w:eastAsia="Times New Roman" w:hAnsi="Times New Roman"/>
          <w:sz w:val="18"/>
          <w:szCs w:val="18"/>
          <w:color w:val="auto"/>
        </w:rPr>
      </w:pPr>
    </w:p>
    <w:p>
      <w:pPr>
        <w:ind w:left="880" w:hanging="238"/>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111" w:lineRule="exact"/>
        <w:rPr>
          <w:rFonts w:ascii="Times New Roman" w:cs="Times New Roman" w:eastAsia="Times New Roman" w:hAnsi="Times New Roman"/>
          <w:sz w:val="18"/>
          <w:szCs w:val="18"/>
          <w:color w:val="auto"/>
        </w:rPr>
      </w:pPr>
    </w:p>
    <w:p>
      <w:pPr>
        <w:ind w:left="880" w:hanging="238"/>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establish additional collaboration or license agreements; and</w:t>
      </w:r>
    </w:p>
    <w:p>
      <w:pPr>
        <w:spacing w:after="0" w:line="111" w:lineRule="exact"/>
        <w:rPr>
          <w:rFonts w:ascii="Times New Roman" w:cs="Times New Roman" w:eastAsia="Times New Roman" w:hAnsi="Times New Roman"/>
          <w:sz w:val="18"/>
          <w:szCs w:val="18"/>
          <w:color w:val="auto"/>
        </w:rPr>
      </w:pPr>
    </w:p>
    <w:p>
      <w:pPr>
        <w:ind w:left="880" w:hanging="238"/>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choose to partner any of our product candidates and the terms of such partnership.</w:t>
      </w:r>
    </w:p>
    <w:p>
      <w:pPr>
        <w:spacing w:after="0" w:line="111" w:lineRule="exact"/>
        <w:rPr>
          <w:sz w:val="20"/>
          <w:szCs w:val="20"/>
          <w:color w:val="auto"/>
        </w:rPr>
      </w:pPr>
    </w:p>
    <w:p>
      <w:pPr>
        <w:jc w:val="both"/>
        <w:ind w:right="220" w:firstLine="636"/>
        <w:spacing w:after="0" w:line="259"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could significantly change the costs and timing associated with the development of that product candidate. We may never succeed in obtaining regulatory approval for any of our product candidates. We may obtain unexpected results from our nonclinical studies and clinical trials.</w:t>
      </w:r>
    </w:p>
    <w:p>
      <w:pPr>
        <w:spacing w:after="0" w:line="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3" w:lineRule="exact"/>
        <w:rPr>
          <w:sz w:val="20"/>
          <w:szCs w:val="20"/>
          <w:color w:val="auto"/>
        </w:rPr>
      </w:pPr>
    </w:p>
    <w:p>
      <w:pPr>
        <w:ind w:right="100" w:firstLine="636"/>
        <w:spacing w:after="0" w:line="255" w:lineRule="auto"/>
        <w:rPr>
          <w:sz w:val="20"/>
          <w:szCs w:val="20"/>
          <w:color w:val="auto"/>
        </w:rPr>
      </w:pPr>
      <w:r>
        <w:rPr>
          <w:rFonts w:ascii="Times New Roman" w:cs="Times New Roman" w:eastAsia="Times New Roman" w:hAnsi="Times New Roman"/>
          <w:sz w:val="18"/>
          <w:szCs w:val="18"/>
          <w:color w:val="auto"/>
        </w:rPr>
        <w:t>General and administrative costs include personnel-related expenses, including stock-based compensation expense for personnel in executive, legal, finance and other administrative functions, legal costs, transaction costs related to collaboration and licensing agreements, as well as fees paid for accounting and tax services, consulting fees and facilities costs not otherwise included in research and development expenses. Legal costs include those related to corporate, dispute and patent matters.</w:t>
      </w:r>
    </w:p>
    <w:p>
      <w:pPr>
        <w:spacing w:after="0" w:line="74" w:lineRule="exact"/>
        <w:rPr>
          <w:sz w:val="20"/>
          <w:szCs w:val="20"/>
          <w:color w:val="auto"/>
        </w:rPr>
      </w:pPr>
    </w:p>
    <w:p>
      <w:pPr>
        <w:ind w:firstLine="636"/>
        <w:spacing w:after="0" w:line="255"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over the foreseeable future to support our continued research and development activities, operations generally, future business development opportunities, consulting fees, as well as due to the increased costs of operating as a public company such as costs related to accounting, audit, legal, regulatory and tax-related services associated with maintaining compliance with exchange listing and SEC requirements, director and officer insurance costs and investor and public relations costs.</w:t>
      </w:r>
    </w:p>
    <w:p>
      <w:pPr>
        <w:spacing w:after="0" w:line="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Other Operating Income, Net</w:t>
      </w:r>
    </w:p>
    <w:p>
      <w:pPr>
        <w:spacing w:after="0" w:line="113"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Other operating income, net consists primarily of service and occupancy fees received associated with subleases as well as losses on the retirement of property and equipment.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Interest income, net consists primarily of interest earned on our cash, cash equivalents and marketable securities balances.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5" w:lineRule="exact"/>
        <w:rPr>
          <w:sz w:val="20"/>
          <w:szCs w:val="20"/>
          <w:color w:val="auto"/>
        </w:rPr>
      </w:pPr>
    </w:p>
    <w:p>
      <w:pPr>
        <w:ind w:right="140" w:firstLine="636"/>
        <w:spacing w:after="0" w:line="274" w:lineRule="auto"/>
        <w:rPr>
          <w:sz w:val="20"/>
          <w:szCs w:val="20"/>
          <w:color w:val="auto"/>
        </w:rPr>
      </w:pPr>
      <w:r>
        <w:rPr>
          <w:rFonts w:ascii="Times New Roman" w:cs="Times New Roman" w:eastAsia="Times New Roman" w:hAnsi="Times New Roman"/>
          <w:sz w:val="18"/>
          <w:szCs w:val="18"/>
          <w:color w:val="auto"/>
        </w:rPr>
        <w:t>Other income (expense), net consists primarily of a gain to record the PACT Series D convertible preferred shares, in addition to changes in the fair value of an equity warrant investment held.</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Other Investments</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Impairment of other investments consists of a reduction in the value of certain other investments.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Deemed Dividends Upon Repurchase of Convertible Preferred Stock</w:t>
      </w:r>
    </w:p>
    <w:p>
      <w:pPr>
        <w:spacing w:after="0" w:line="115" w:lineRule="exact"/>
        <w:rPr>
          <w:sz w:val="20"/>
          <w:szCs w:val="20"/>
          <w:color w:val="auto"/>
        </w:rPr>
      </w:pPr>
    </w:p>
    <w:p>
      <w:pPr>
        <w:ind w:firstLine="636"/>
        <w:spacing w:after="0" w:line="259" w:lineRule="auto"/>
        <w:rPr>
          <w:sz w:val="20"/>
          <w:szCs w:val="20"/>
          <w:color w:val="auto"/>
        </w:rPr>
      </w:pPr>
      <w:r>
        <w:rPr>
          <w:rFonts w:ascii="Times New Roman" w:cs="Times New Roman" w:eastAsia="Times New Roman" w:hAnsi="Times New Roman"/>
          <w:sz w:val="18"/>
          <w:szCs w:val="18"/>
          <w:color w:val="auto"/>
        </w:rPr>
        <w:t>Deemed dividends upon repurchase of convertible preferred stock consists of the amount by which the cash paid for the repurchase of convertible preferred stock exceeded the carrying value of such convertible preferred stock. Upon the closing of our IPO, all our convertible preferred stock was converted into our common stock.</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Years Ended December 31, 2022, 2021 and 2020</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6"/>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r>
      <w:tr>
        <w:trPr>
          <w:trHeight w:val="38"/>
        </w:trPr>
        <w:tc>
          <w:tcPr>
            <w:tcW w:w="46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1"/>
        </w:trPr>
        <w:tc>
          <w:tcPr>
            <w:tcW w:w="4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220" w:type="dxa"/>
            <w:vAlign w:val="bottom"/>
          </w:tcPr>
          <w:p>
            <w:pPr>
              <w:spacing w:after="0"/>
              <w:rPr>
                <w:sz w:val="15"/>
                <w:szCs w:val="15"/>
                <w:color w:val="auto"/>
              </w:rPr>
            </w:pPr>
          </w:p>
        </w:tc>
        <w:tc>
          <w:tcPr>
            <w:tcW w:w="10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2021 vs 2020</w:t>
            </w:r>
          </w:p>
        </w:tc>
      </w:tr>
      <w:tr>
        <w:trPr>
          <w:trHeight w:val="38"/>
        </w:trPr>
        <w:tc>
          <w:tcPr>
            <w:tcW w:w="46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74,033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r>
      <w:tr>
        <w:trPr>
          <w:trHeight w:val="23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6"/>
        </w:trPr>
        <w:tc>
          <w:tcPr>
            <w:tcW w:w="4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5"/>
        </w:trPr>
        <w:tc>
          <w:tcPr>
            <w:tcW w:w="4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(43,550)</w:t>
            </w:r>
          </w:p>
        </w:tc>
      </w:tr>
      <w:tr>
        <w:trPr>
          <w:trHeight w:val="239"/>
        </w:trPr>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42,176</w:t>
            </w:r>
          </w:p>
        </w:tc>
      </w:tr>
      <w:tr>
        <w:trPr>
          <w:trHeight w:val="26"/>
        </w:trPr>
        <w:tc>
          <w:tcPr>
            <w:tcW w:w="4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5"/>
        </w:trPr>
        <w:tc>
          <w:tcPr>
            <w:tcW w:w="4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w:t>
            </w:r>
          </w:p>
        </w:tc>
      </w:tr>
      <w:tr>
        <w:trPr>
          <w:trHeight w:val="233"/>
        </w:trPr>
        <w:tc>
          <w:tcPr>
            <w:tcW w:w="4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271,741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225,426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219,693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46,315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5,733</w:t>
            </w:r>
          </w:p>
        </w:tc>
      </w:tr>
      <w:tr>
        <w:trPr>
          <w:trHeight w:val="25"/>
        </w:trPr>
        <w:tc>
          <w:tcPr>
            <w:tcW w:w="4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(187,058)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(214,776)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r>
      <w:tr>
        <w:trPr>
          <w:trHeight w:val="240"/>
        </w:trPr>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w:t>
            </w:r>
          </w:p>
        </w:tc>
      </w:tr>
      <w:tr>
        <w:trPr>
          <w:trHeight w:val="25"/>
        </w:trPr>
        <w:tc>
          <w:tcPr>
            <w:tcW w:w="4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5"/>
        </w:trPr>
        <w:tc>
          <w:tcPr>
            <w:tcW w:w="4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r>
      <w:tr>
        <w:trPr>
          <w:trHeight w:val="240"/>
        </w:trPr>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Impairment of other investments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(36,447)</w:t>
            </w:r>
          </w:p>
        </w:tc>
      </w:tr>
      <w:tr>
        <w:trPr>
          <w:trHeight w:val="25"/>
        </w:trPr>
        <w:tc>
          <w:tcPr>
            <w:tcW w:w="4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8"/>
        </w:trPr>
        <w:tc>
          <w:tcPr>
            <w:tcW w:w="46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other income (loss), net</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(42,908)</w:t>
            </w:r>
          </w:p>
        </w:tc>
      </w:tr>
      <w:tr>
        <w:trPr>
          <w:trHeight w:val="23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(250,219)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(204,472)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67,101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(45,747)</w:t>
            </w:r>
          </w:p>
        </w:tc>
      </w:tr>
      <w:tr>
        <w:trPr>
          <w:trHeight w:val="25"/>
        </w:trPr>
        <w:tc>
          <w:tcPr>
            <w:tcW w:w="4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0"/>
        </w:trPr>
        <w:tc>
          <w:tcPr>
            <w:tcW w:w="464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Deemed dividends upon repurchase of convertible preferred</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57"/>
        </w:trPr>
        <w:tc>
          <w:tcPr>
            <w:tcW w:w="4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r>
      <w:tr>
        <w:trPr>
          <w:trHeight w:val="25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attributed to common stockholders</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(183,118)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(250,219)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(208,054)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67,101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(42,165)</w:t>
            </w:r>
          </w:p>
        </w:tc>
      </w:tr>
      <w:tr>
        <w:trPr>
          <w:trHeight w:val="20"/>
        </w:trPr>
        <w:tc>
          <w:tcPr>
            <w:tcW w:w="4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3" w:lineRule="exact"/>
        <w:rPr>
          <w:sz w:val="20"/>
          <w:szCs w:val="20"/>
          <w:color w:val="auto"/>
        </w:rPr>
      </w:pPr>
    </w:p>
    <w:p>
      <w:pPr>
        <w:ind w:right="20" w:firstLine="636"/>
        <w:spacing w:after="0" w:line="250" w:lineRule="auto"/>
        <w:rPr>
          <w:sz w:val="20"/>
          <w:szCs w:val="20"/>
          <w:color w:val="auto"/>
        </w:rPr>
      </w:pPr>
      <w:r>
        <w:rPr>
          <w:rFonts w:ascii="Times New Roman" w:cs="Times New Roman" w:eastAsia="Times New Roman" w:hAnsi="Times New Roman"/>
          <w:sz w:val="18"/>
          <w:szCs w:val="18"/>
          <w:color w:val="auto"/>
        </w:rPr>
        <w:t xml:space="preserve">Revenue was $84.7 million and $10.7 million for the years ended December 31, 2022 and 2021, respectively, primarily related to the recognized portion of the upfront license fee pursuant to the GSK Agreement. The increase of $74.0 million was primarily related to $83.6 million in revenue adjustments driven by the mutual agreement with GSK to conclude certain research activities in June 2022 and GSK’s subsequent termination of the GSK Agreement, effective December 2022, both of which resulted in changes to the measure of proportional cumulative performance. The revenue increase was offset by a decrease of $9.6 million due primarily to fewer research and development activities under the GSK Agreement for the year ended December 31, 2022. See Note 3, </w:t>
      </w:r>
      <w:r>
        <w:rPr>
          <w:rFonts w:ascii="Times New Roman" w:cs="Times New Roman" w:eastAsia="Times New Roman" w:hAnsi="Times New Roman"/>
          <w:sz w:val="18"/>
          <w:szCs w:val="18"/>
          <w:i w:val="1"/>
          <w:iCs w:val="1"/>
          <w:color w:val="auto"/>
        </w:rPr>
        <w:t>License, Collaboration and Success Payment Agreements</w:t>
      </w:r>
      <w:r>
        <w:rPr>
          <w:rFonts w:ascii="Times New Roman" w:cs="Times New Roman" w:eastAsia="Times New Roman" w:hAnsi="Times New Roman"/>
          <w:sz w:val="18"/>
          <w:szCs w:val="18"/>
          <w:color w:val="auto"/>
        </w:rPr>
        <w:t xml:space="preserve"> in the accompanying notes to our audited consolidated financial statements included in Part II, Item 8, of this Annual Report on Form 10-K for additional information about the termination of the GSK Agreement.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components of our research and development expenses for the periods presented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6"/>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6"/>
                <w:szCs w:val="16"/>
                <w:color w:val="auto"/>
              </w:rPr>
            </w:pPr>
          </w:p>
        </w:tc>
      </w:tr>
      <w:tr>
        <w:trPr>
          <w:trHeight w:val="38"/>
        </w:trPr>
        <w:tc>
          <w:tcPr>
            <w:tcW w:w="48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1"/>
        </w:trPr>
        <w:tc>
          <w:tcPr>
            <w:tcW w:w="4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200" w:type="dxa"/>
            <w:vAlign w:val="bottom"/>
          </w:tcPr>
          <w:p>
            <w:pPr>
              <w:spacing w:after="0"/>
              <w:rPr>
                <w:sz w:val="15"/>
                <w:szCs w:val="15"/>
                <w:color w:val="auto"/>
              </w:rPr>
            </w:pPr>
          </w:p>
        </w:tc>
        <w:tc>
          <w:tcPr>
            <w:tcW w:w="10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2021 vs 2020</w:t>
            </w:r>
          </w:p>
        </w:tc>
      </w:tr>
      <w:tr>
        <w:trPr>
          <w:trHeight w:val="38"/>
        </w:trPr>
        <w:tc>
          <w:tcPr>
            <w:tcW w:w="48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w:t>
            </w:r>
          </w:p>
        </w:tc>
      </w:tr>
      <w:tr>
        <w:trPr>
          <w:trHeight w:val="23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Facilities and technology</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14,532</w:t>
            </w:r>
          </w:p>
        </w:tc>
      </w:tr>
      <w:tr>
        <w:trPr>
          <w:trHeight w:val="26"/>
        </w:trPr>
        <w:tc>
          <w:tcPr>
            <w:tcW w:w="4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5"/>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Collaborations, research activities and outside services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(62,845)</w:t>
            </w:r>
          </w:p>
        </w:tc>
      </w:tr>
      <w:tr>
        <w:trPr>
          <w:trHeight w:val="23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Success payments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r>
      <w:tr>
        <w:trPr>
          <w:trHeight w:val="26"/>
        </w:trPr>
        <w:tc>
          <w:tcPr>
            <w:tcW w:w="4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3"/>
        </w:trPr>
        <w:tc>
          <w:tcPr>
            <w:tcW w:w="4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138,693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182,243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(43,550)</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right="80" w:firstLine="636"/>
        <w:spacing w:after="0" w:line="249" w:lineRule="auto"/>
        <w:rPr>
          <w:sz w:val="20"/>
          <w:szCs w:val="20"/>
          <w:color w:val="auto"/>
        </w:rPr>
      </w:pPr>
      <w:r>
        <w:rPr>
          <w:rFonts w:ascii="Times New Roman" w:cs="Times New Roman" w:eastAsia="Times New Roman" w:hAnsi="Times New Roman"/>
          <w:sz w:val="18"/>
          <w:szCs w:val="18"/>
          <w:color w:val="auto"/>
        </w:rPr>
        <w:t>Research and development expenses were $159.2 million and $138.7 million for the years ended December 31, 2022 and 2021, respectively. The increase of $20.5 million was primarily due to an increase of $13.1 million in facilities and technology costs, primarily related to increased infrastructure to support our expansion in research and development, manufacturing capabilities and associated headcount growth; an increase of $10.0 million in personnel-related expenses, that was primarily related to an increase in headcount to expand our research, development and manufacturing capabilities; an increase of $6.3 million in collaboration, research activities and outside services primarily driven by an increase of $5.1 million in research and laboratory costs principally due to clinical trials; and an increase of $3.3 million in professional services offset by a reduction of $2.2 million in collaboration and license fees; partially offset by a decrease of $8.8 million in success payment expenses associated with our Fred Hutch and Stanford success payment liabilities, primarily driven by the decrease in the per share fair value of our common stock.</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3" w:lineRule="exact"/>
        <w:rPr>
          <w:sz w:val="20"/>
          <w:szCs w:val="20"/>
          <w:color w:val="auto"/>
        </w:rPr>
      </w:pPr>
    </w:p>
    <w:p>
      <w:pPr>
        <w:ind w:firstLine="636"/>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were $117.3 million and $89.1 million for the years ended December 31, 2022 and 2021, respectively. The increase of $28.3 million was primarily due to an increase of $18.3 million in stock-based compensation expense, primarily related to award modifications and new awards granted. Additionally, outside services increased by $5.1 million due primarily to higher legal expenses and corporate expenses increased $3.9 million primarily due to costs associated with operating as a public company.</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Other Operating Income, Net</w:t>
      </w:r>
    </w:p>
    <w:p>
      <w:pPr>
        <w:spacing w:after="0" w:line="113" w:lineRule="exact"/>
        <w:rPr>
          <w:sz w:val="20"/>
          <w:szCs w:val="20"/>
          <w:color w:val="auto"/>
        </w:rPr>
      </w:pPr>
    </w:p>
    <w:p>
      <w:pPr>
        <w:ind w:right="560" w:firstLine="636"/>
        <w:spacing w:after="0" w:line="274" w:lineRule="auto"/>
        <w:rPr>
          <w:sz w:val="20"/>
          <w:szCs w:val="20"/>
          <w:color w:val="auto"/>
        </w:rPr>
      </w:pPr>
      <w:r>
        <w:rPr>
          <w:rFonts w:ascii="Times New Roman" w:cs="Times New Roman" w:eastAsia="Times New Roman" w:hAnsi="Times New Roman"/>
          <w:sz w:val="18"/>
          <w:szCs w:val="18"/>
          <w:color w:val="auto"/>
        </w:rPr>
        <w:t>Other operating income, net was $4.8 million and $2.3 million for the years ended December 31, 2022 and 2021, respectively. The increase of $2.4 million was due primarily to sublease income and operating fees related to our subleases.</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13" w:lineRule="exact"/>
        <w:rPr>
          <w:sz w:val="20"/>
          <w:szCs w:val="20"/>
          <w:color w:val="auto"/>
        </w:rPr>
      </w:pPr>
    </w:p>
    <w:p>
      <w:pPr>
        <w:ind w:right="240" w:firstLine="636"/>
        <w:spacing w:after="0" w:line="274" w:lineRule="auto"/>
        <w:rPr>
          <w:sz w:val="20"/>
          <w:szCs w:val="20"/>
          <w:color w:val="auto"/>
        </w:rPr>
      </w:pPr>
      <w:r>
        <w:rPr>
          <w:rFonts w:ascii="Times New Roman" w:cs="Times New Roman" w:eastAsia="Times New Roman" w:hAnsi="Times New Roman"/>
          <w:sz w:val="18"/>
          <w:szCs w:val="18"/>
          <w:color w:val="auto"/>
        </w:rPr>
        <w:t>Interest income, net was $7.1 million and $1.2 million for the years ended December 31, 2022 and 2021, respectively. The increase of $5.9 million was primarily driven by higher interest rates in 2022.</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Other income (expense), net was $1.9 million and $(0.2) million for the years ended December 31, 2022 and 2021, respectively. The increase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 million consisted primarily of a gain of $2.9 million to record the estimated fair value of PACT Series D convertible preferred shares acquired, offset by 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of $1.1 million in the fair value of an equity warrant investment held.</w:t>
      </w:r>
    </w:p>
    <w:p>
      <w:pPr>
        <w:spacing w:after="0" w:line="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Impairment of Other Investments</w:t>
      </w:r>
    </w:p>
    <w:p>
      <w:pPr>
        <w:spacing w:after="0" w:line="113" w:lineRule="exact"/>
        <w:rPr>
          <w:sz w:val="20"/>
          <w:szCs w:val="20"/>
          <w:color w:val="auto"/>
        </w:rPr>
      </w:pPr>
    </w:p>
    <w:p>
      <w:pPr>
        <w:ind w:right="140" w:firstLine="636"/>
        <w:spacing w:after="0" w:line="255" w:lineRule="auto"/>
        <w:rPr>
          <w:sz w:val="20"/>
          <w:szCs w:val="20"/>
          <w:color w:val="auto"/>
        </w:rPr>
      </w:pPr>
      <w:r>
        <w:rPr>
          <w:rFonts w:ascii="Times New Roman" w:cs="Times New Roman" w:eastAsia="Times New Roman" w:hAnsi="Times New Roman"/>
          <w:sz w:val="18"/>
          <w:szCs w:val="18"/>
          <w:color w:val="auto"/>
        </w:rPr>
        <w:t xml:space="preserve">For the year ended December 31, 2022, the $5.0 million impairment of other investments consisted of the full impairment of one of our other investments. For the year ended December 31, 2021, the $36.4 million impairment of other investments consisted of the full impairment of our investment in PACT Series C-1 convertible preferred stock. See Note 5, </w:t>
      </w:r>
      <w:r>
        <w:rPr>
          <w:rFonts w:ascii="Times New Roman" w:cs="Times New Roman" w:eastAsia="Times New Roman" w:hAnsi="Times New Roman"/>
          <w:sz w:val="18"/>
          <w:szCs w:val="18"/>
          <w:i w:val="1"/>
          <w:iCs w:val="1"/>
          <w:color w:val="auto"/>
        </w:rPr>
        <w:t>Other Investments</w:t>
      </w:r>
      <w:r>
        <w:rPr>
          <w:rFonts w:ascii="Times New Roman" w:cs="Times New Roman" w:eastAsia="Times New Roman" w:hAnsi="Times New Roman"/>
          <w:sz w:val="18"/>
          <w:szCs w:val="18"/>
          <w:color w:val="auto"/>
        </w:rPr>
        <w:t>, in the accompanying notes to our audited consolidated financial statements included in Part II, Item 8, of this Annual Report on Form 10-K for additional information.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15" w:lineRule="exact"/>
        <w:rPr>
          <w:sz w:val="20"/>
          <w:szCs w:val="20"/>
          <w:color w:val="auto"/>
        </w:rPr>
      </w:pPr>
    </w:p>
    <w:p>
      <w:pPr>
        <w:ind w:firstLine="636"/>
        <w:spacing w:after="0" w:line="251" w:lineRule="auto"/>
        <w:rPr>
          <w:sz w:val="20"/>
          <w:szCs w:val="20"/>
          <w:color w:val="auto"/>
        </w:rPr>
      </w:pPr>
      <w:r>
        <w:rPr>
          <w:rFonts w:ascii="Times New Roman" w:cs="Times New Roman" w:eastAsia="Times New Roman" w:hAnsi="Times New Roman"/>
          <w:sz w:val="18"/>
          <w:szCs w:val="18"/>
          <w:color w:val="auto"/>
        </w:rPr>
        <w:t>Since our inception, we have funded our operations primarily through the sale and issuance of convertible preferred stock, the sale of common stock in connection with our IPO and business development activities. As of December 31, 2022, we had $710.3 million in cash, cash equivalents and marketable securities. Since our inception, we have incurred significant operating losses. We have not yet commercialized any product candidates and we do not expect to generate revenue from sales of any product candidates for a number of years, if ever. We had an accumulated deficit of $767.5 million as of December 31, 2022. From June 29, 2018 (inception) through December 31, 2022, we raised an aggregate of $1,405.7 million in gross proceeds from the sales of our convertible preferred stock and the IPO.</w:t>
      </w:r>
    </w:p>
    <w:p>
      <w:pPr>
        <w:spacing w:after="0" w:line="79" w:lineRule="exact"/>
        <w:rPr>
          <w:sz w:val="20"/>
          <w:szCs w:val="20"/>
          <w:color w:val="auto"/>
        </w:rPr>
      </w:pPr>
    </w:p>
    <w:p>
      <w:pPr>
        <w:ind w:firstLine="636"/>
        <w:spacing w:after="0" w:line="249" w:lineRule="auto"/>
        <w:rPr>
          <w:sz w:val="20"/>
          <w:szCs w:val="20"/>
          <w:color w:val="auto"/>
        </w:rPr>
      </w:pPr>
      <w:r>
        <w:rPr>
          <w:rFonts w:ascii="Times New Roman" w:cs="Times New Roman" w:eastAsia="Times New Roman" w:hAnsi="Times New Roman"/>
          <w:sz w:val="18"/>
          <w:szCs w:val="18"/>
          <w:color w:val="auto"/>
        </w:rPr>
        <w:t>On August 4, 2022, we entered into an Equity Distribution Agreement (the Equity Distribution Agreement) with Goldman Sachs &amp; Co. LLC (Goldman Sachs) and BofA Securities, Inc. (BofA, and together with Goldman Sachs, the Agents) with respect to an at-the-market offering program. In accordance with the terms of the Equity Distribution Agreement, we may offer and sell from time to time through the Agents shares of our common stock having an aggregate offering amount of up to $200.0 million (the Placement Shares). Sales of the Placement Shares, if any, will be made at prevailing market prices on Nasdaq at the time of sale, or as otherwise agreed with the Agents, by any method permitted by law deemed to be an “at-the-market offering” as defined in Rule 415 of the Securities Act. We will pay commissions to the Agents of up to 3.0% of the gross proceeds of the sale of the Placement Shares sold under the Equity Distribution Agreement and reimburse the Agents for certain expenses. Neither us nor the Agents are obligated to sell any shares and to date, we have not made any sales under the Equity Distribution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15" w:lineRule="exact"/>
        <w:rPr>
          <w:sz w:val="20"/>
          <w:szCs w:val="20"/>
          <w:color w:val="auto"/>
        </w:rPr>
      </w:pPr>
    </w:p>
    <w:p>
      <w:pPr>
        <w:ind w:right="60" w:firstLine="636"/>
        <w:spacing w:after="0" w:line="266" w:lineRule="auto"/>
        <w:rPr>
          <w:sz w:val="20"/>
          <w:szCs w:val="20"/>
          <w:color w:val="auto"/>
        </w:rPr>
      </w:pPr>
      <w:r>
        <w:rPr>
          <w:rFonts w:ascii="Times New Roman" w:cs="Times New Roman" w:eastAsia="Times New Roman" w:hAnsi="Times New Roman"/>
          <w:sz w:val="17"/>
          <w:szCs w:val="17"/>
          <w:color w:val="auto"/>
        </w:rPr>
        <w:t>We expect to incur additional losses in the foreseeable future as we conduct and expand our research and development efforts, including conducting nonclinical studies and clinical trials, developing new product candidates, establishing internal manufacturing capabilities and funding our operations generally. Based on our current operating plan, we believe that our existing cash, cash equivalents and marketable securities will be sufficient to meet our working capital and capital expenditure needs into 2026. However, we anticipate that we will need to raise additional capital in the future to fund our operations, including further development of our product candidates and the commercialization of any approved product candidates. In addition, we regularly consider fund-raising opportunities and may decide, from time to time, to raise additional capital, including pursuant to the Equity Distribution Agreement, based on various factors, including market conditions and our plans of operation. We are subject to the risks typically related to the development of new products, and we may encounter unforeseen expenses, difficulties, complications, delays and other unknown factors that may adversely affect our business.</w:t>
      </w:r>
    </w:p>
    <w:p>
      <w:pPr>
        <w:spacing w:after="0" w:line="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1" w:lineRule="exact"/>
        <w:rPr>
          <w:sz w:val="20"/>
          <w:szCs w:val="20"/>
          <w:color w:val="auto"/>
        </w:rPr>
      </w:pPr>
    </w:p>
    <w:p>
      <w:pPr>
        <w:ind w:left="880" w:right="760" w:hanging="238"/>
        <w:spacing w:after="0" w:line="274" w:lineRule="auto"/>
        <w:tabs>
          <w:tab w:leader="none" w:pos="87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costs and results of discovery, nonclinical development and clinical trials for our current and future product candidates;</w:t>
      </w:r>
    </w:p>
    <w:p>
      <w:pPr>
        <w:spacing w:after="0" w:line="57" w:lineRule="exact"/>
        <w:rPr>
          <w:rFonts w:ascii="Times New Roman" w:cs="Times New Roman" w:eastAsia="Times New Roman" w:hAnsi="Times New Roman"/>
          <w:sz w:val="18"/>
          <w:szCs w:val="18"/>
          <w:color w:val="auto"/>
        </w:rPr>
      </w:pPr>
    </w:p>
    <w:p>
      <w:pPr>
        <w:ind w:left="880" w:hanging="238"/>
        <w:spacing w:after="0"/>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trials required for regulatory approval of our current and future product candidates;</w:t>
      </w:r>
    </w:p>
    <w:p>
      <w:pPr>
        <w:spacing w:after="0" w:line="111" w:lineRule="exact"/>
        <w:rPr>
          <w:rFonts w:ascii="Times New Roman" w:cs="Times New Roman" w:eastAsia="Times New Roman" w:hAnsi="Times New Roman"/>
          <w:sz w:val="18"/>
          <w:szCs w:val="18"/>
          <w:color w:val="auto"/>
        </w:rPr>
      </w:pPr>
    </w:p>
    <w:p>
      <w:pPr>
        <w:ind w:left="880" w:hanging="238"/>
        <w:spacing w:after="0"/>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any of our current and future product candidates;</w:t>
      </w:r>
    </w:p>
    <w:p>
      <w:pPr>
        <w:spacing w:after="0" w:line="111" w:lineRule="exact"/>
        <w:rPr>
          <w:rFonts w:ascii="Times New Roman" w:cs="Times New Roman" w:eastAsia="Times New Roman" w:hAnsi="Times New Roman"/>
          <w:sz w:val="18"/>
          <w:szCs w:val="18"/>
          <w:color w:val="auto"/>
        </w:rPr>
      </w:pPr>
    </w:p>
    <w:p>
      <w:pPr>
        <w:ind w:left="880" w:hanging="238"/>
        <w:spacing w:after="0"/>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and commercial supplies of our current and future product candidates;</w:t>
      </w:r>
    </w:p>
    <w:p>
      <w:pPr>
        <w:spacing w:after="0" w:line="111" w:lineRule="exact"/>
        <w:rPr>
          <w:rFonts w:ascii="Times New Roman" w:cs="Times New Roman" w:eastAsia="Times New Roman" w:hAnsi="Times New Roman"/>
          <w:sz w:val="18"/>
          <w:szCs w:val="18"/>
          <w:color w:val="auto"/>
        </w:rPr>
      </w:pPr>
    </w:p>
    <w:p>
      <w:pPr>
        <w:ind w:left="880" w:right="340" w:hanging="238"/>
        <w:spacing w:after="0" w:line="274" w:lineRule="auto"/>
        <w:tabs>
          <w:tab w:leader="none" w:pos="87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manufacturing, marketing, sales and distribution, for any of our product candidates for which we receive marketing approval;</w:t>
      </w:r>
    </w:p>
    <w:p>
      <w:pPr>
        <w:spacing w:after="0" w:line="57" w:lineRule="exact"/>
        <w:rPr>
          <w:rFonts w:ascii="Times New Roman" w:cs="Times New Roman" w:eastAsia="Times New Roman" w:hAnsi="Times New Roman"/>
          <w:sz w:val="18"/>
          <w:szCs w:val="18"/>
          <w:color w:val="auto"/>
        </w:rPr>
      </w:pPr>
    </w:p>
    <w:p>
      <w:pPr>
        <w:ind w:left="880" w:hanging="238"/>
        <w:spacing w:after="0"/>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investment to build additional manufacturing facilities or expand the capacity of our existing ones;</w:t>
      </w:r>
    </w:p>
    <w:p>
      <w:pPr>
        <w:spacing w:after="0" w:line="111" w:lineRule="exact"/>
        <w:rPr>
          <w:rFonts w:ascii="Times New Roman" w:cs="Times New Roman" w:eastAsia="Times New Roman" w:hAnsi="Times New Roman"/>
          <w:sz w:val="18"/>
          <w:szCs w:val="18"/>
          <w:color w:val="auto"/>
        </w:rPr>
      </w:pPr>
    </w:p>
    <w:p>
      <w:pPr>
        <w:ind w:left="880" w:right="540" w:hanging="238"/>
        <w:spacing w:after="0" w:line="274" w:lineRule="auto"/>
        <w:tabs>
          <w:tab w:leader="none" w:pos="87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7" w:lineRule="exact"/>
        <w:rPr>
          <w:rFonts w:ascii="Times New Roman" w:cs="Times New Roman" w:eastAsia="Times New Roman" w:hAnsi="Times New Roman"/>
          <w:sz w:val="18"/>
          <w:szCs w:val="18"/>
          <w:color w:val="auto"/>
        </w:rPr>
      </w:pPr>
    </w:p>
    <w:p>
      <w:pPr>
        <w:ind w:left="880" w:right="80" w:hanging="238"/>
        <w:spacing w:after="0" w:line="259" w:lineRule="auto"/>
        <w:tabs>
          <w:tab w:leader="none" w:pos="87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establish new, collaborations, licenses, product acquisitions or other strategic transactions and the fulfillment of our financial obligations under any such agreements, including the timing and amount of any success payment, future contingent payments, milestone, royalty or other payments due under any such agreement;</w:t>
      </w:r>
    </w:p>
    <w:p>
      <w:pPr>
        <w:spacing w:after="0" w:line="71" w:lineRule="exact"/>
        <w:rPr>
          <w:rFonts w:ascii="Times New Roman" w:cs="Times New Roman" w:eastAsia="Times New Roman" w:hAnsi="Times New Roman"/>
          <w:sz w:val="18"/>
          <w:szCs w:val="18"/>
          <w:color w:val="auto"/>
        </w:rPr>
      </w:pPr>
    </w:p>
    <w:p>
      <w:pPr>
        <w:ind w:left="880" w:hanging="238"/>
        <w:spacing w:after="0"/>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111" w:lineRule="exact"/>
        <w:rPr>
          <w:rFonts w:ascii="Times New Roman" w:cs="Times New Roman" w:eastAsia="Times New Roman" w:hAnsi="Times New Roman"/>
          <w:sz w:val="18"/>
          <w:szCs w:val="18"/>
          <w:color w:val="auto"/>
        </w:rPr>
      </w:pPr>
    </w:p>
    <w:p>
      <w:pPr>
        <w:ind w:left="880" w:hanging="238"/>
        <w:spacing w:after="0"/>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to attract, hire and retain skilled personnel;</w:t>
      </w: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880" w:hanging="238"/>
        <w:spacing w:after="0"/>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11" w:lineRule="exact"/>
        <w:rPr>
          <w:rFonts w:ascii="Times New Roman" w:cs="Times New Roman" w:eastAsia="Times New Roman" w:hAnsi="Times New Roman"/>
          <w:sz w:val="18"/>
          <w:szCs w:val="18"/>
          <w:color w:val="auto"/>
        </w:rPr>
      </w:pPr>
    </w:p>
    <w:p>
      <w:pPr>
        <w:ind w:left="880" w:hanging="238"/>
        <w:spacing w:after="0"/>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potential interruptions or delays resulting from factors related to the COVID-19 pandemic;</w:t>
      </w:r>
    </w:p>
    <w:p>
      <w:pPr>
        <w:spacing w:after="0" w:line="111" w:lineRule="exact"/>
        <w:rPr>
          <w:rFonts w:ascii="Times New Roman" w:cs="Times New Roman" w:eastAsia="Times New Roman" w:hAnsi="Times New Roman"/>
          <w:sz w:val="18"/>
          <w:szCs w:val="18"/>
          <w:color w:val="auto"/>
        </w:rPr>
      </w:pPr>
    </w:p>
    <w:p>
      <w:pPr>
        <w:ind w:left="880" w:hanging="238"/>
        <w:spacing w:after="0"/>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or responding to any potential disputes or litigation; and</w:t>
      </w:r>
    </w:p>
    <w:p>
      <w:pPr>
        <w:spacing w:after="0" w:line="111" w:lineRule="exact"/>
        <w:rPr>
          <w:rFonts w:ascii="Times New Roman" w:cs="Times New Roman" w:eastAsia="Times New Roman" w:hAnsi="Times New Roman"/>
          <w:sz w:val="18"/>
          <w:szCs w:val="18"/>
          <w:color w:val="auto"/>
        </w:rPr>
      </w:pPr>
    </w:p>
    <w:p>
      <w:pPr>
        <w:ind w:left="880" w:hanging="238"/>
        <w:spacing w:after="0"/>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technology platforms.</w:t>
      </w:r>
    </w:p>
    <w:p>
      <w:pPr>
        <w:spacing w:after="0" w:line="111" w:lineRule="exact"/>
        <w:rPr>
          <w:sz w:val="20"/>
          <w:szCs w:val="20"/>
          <w:color w:val="auto"/>
        </w:rPr>
      </w:pPr>
    </w:p>
    <w:p>
      <w:pPr>
        <w:ind w:right="40" w:firstLine="636"/>
        <w:spacing w:after="0" w:line="248" w:lineRule="auto"/>
        <w:rPr>
          <w:sz w:val="20"/>
          <w:szCs w:val="20"/>
          <w:color w:val="auto"/>
        </w:rPr>
      </w:pPr>
      <w:r>
        <w:rPr>
          <w:rFonts w:ascii="Times New Roman" w:cs="Times New Roman" w:eastAsia="Times New Roman" w:hAnsi="Times New Roman"/>
          <w:sz w:val="18"/>
          <w:szCs w:val="18"/>
          <w:color w:val="auto"/>
        </w:rPr>
        <w:t>Until such time as we complete nonclinical and clinical development and receive regulatory approval of our product candidates and can generate significant revenue from product sales, if ever, we expect to finance our operations from the sale of additional equity or debt financings, or other capital which come in the form of strategic collaborations, licensing, or other arrangements. In the event that additional capital is required, we may not be able to raise it on terms acceptable to us, or at all. If we raise additional funds through the issuance of equity or convertible debt securities, including pursuant to the Equity Distribution Agreement, it may result in dilution to our existing stockholders. Debt financing or preferred equity financing, if available, may result in increased fixed payment obligations, and the existence of securities with rights that may be senior to those of our common stock. If we incur indebtedness, we could become subject to covenants that would restrict our operations. If we raise funds through strategic collaboration, licensing, or other arrangements, we may relinquish significant rights or grant licenses on terms that are not favorable to us. Our ability to raise additional funds may be adversely impacted by potential worsening global economic conditions and the recent disruptions to, and volatility in, the credit and financial markets in the United States and worldwide resulting from the COVID-19 pandemic, actual or perceived changes in interest rates and economic inflation, and otherwise. If we are unable to raise additional capital when desired, our business, results of operations and financial condition would be adversely affected.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15" w:lineRule="exact"/>
        <w:rPr>
          <w:sz w:val="20"/>
          <w:szCs w:val="20"/>
          <w:color w:val="auto"/>
        </w:rPr>
      </w:pPr>
    </w:p>
    <w:p>
      <w:pPr>
        <w:ind w:right="60" w:firstLine="636"/>
        <w:spacing w:after="0" w:line="251" w:lineRule="auto"/>
        <w:rPr>
          <w:sz w:val="20"/>
          <w:szCs w:val="20"/>
          <w:color w:val="auto"/>
        </w:rPr>
      </w:pPr>
      <w:r>
        <w:rPr>
          <w:rFonts w:ascii="Times New Roman" w:cs="Times New Roman" w:eastAsia="Times New Roman" w:hAnsi="Times New Roman"/>
          <w:sz w:val="18"/>
          <w:szCs w:val="18"/>
          <w:color w:val="auto"/>
        </w:rPr>
        <w:t xml:space="preserve">We continually evaluate our liquidity and capital resources to ensure that we can adequately and efficiently finance our operations. As of December 31, 2022, our material cash requirements consisted primarily of paying salaries and benefits, administering clinical trials, conducting research, improving our manufacturing capabilities, providing the technology and facilities necessary to support our operations, funding operating lease obligations and other payments related to our collaborative agreements. See Note 3, </w:t>
      </w:r>
      <w:r>
        <w:rPr>
          <w:rFonts w:ascii="Times New Roman" w:cs="Times New Roman" w:eastAsia="Times New Roman" w:hAnsi="Times New Roman"/>
          <w:sz w:val="18"/>
          <w:szCs w:val="18"/>
          <w:i w:val="1"/>
          <w:iCs w:val="1"/>
          <w:color w:val="auto"/>
        </w:rPr>
        <w:t>License, Collaboration and Success Payment Agreements</w:t>
      </w:r>
      <w:r>
        <w:rPr>
          <w:rFonts w:ascii="Times New Roman" w:cs="Times New Roman" w:eastAsia="Times New Roman" w:hAnsi="Times New Roman"/>
          <w:sz w:val="18"/>
          <w:szCs w:val="18"/>
          <w:color w:val="auto"/>
        </w:rPr>
        <w:t xml:space="preserve">, and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in the accompanying notes to our audited consolidated financial statements included in Part II, Item 8, of this Annual Report on Form 10-K for additional information.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6"/>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940" w:type="dxa"/>
            <w:vAlign w:val="bottom"/>
          </w:tcPr>
          <w:p>
            <w:pPr>
              <w:spacing w:after="0"/>
              <w:rPr>
                <w:sz w:val="16"/>
                <w:szCs w:val="16"/>
                <w:color w:val="auto"/>
              </w:rPr>
            </w:pPr>
          </w:p>
        </w:tc>
      </w:tr>
      <w:tr>
        <w:trPr>
          <w:trHeight w:val="37"/>
        </w:trPr>
        <w:tc>
          <w:tcPr>
            <w:tcW w:w="73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7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38"/>
        </w:trPr>
        <w:tc>
          <w:tcPr>
            <w:tcW w:w="73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25"/>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r>
      <w:tr>
        <w:trPr>
          <w:trHeight w:val="240"/>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(169,555)</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center"/>
              <w:ind w:left="115"/>
              <w:spacing w:after="0"/>
              <w:rPr>
                <w:sz w:val="20"/>
                <w:szCs w:val="20"/>
                <w:color w:val="auto"/>
              </w:rPr>
            </w:pPr>
            <w:r>
              <w:rPr>
                <w:rFonts w:ascii="Times New Roman" w:cs="Times New Roman" w:eastAsia="Times New Roman" w:hAnsi="Times New Roman"/>
                <w:sz w:val="18"/>
                <w:szCs w:val="18"/>
                <w:color w:val="auto"/>
                <w:w w:val="99"/>
              </w:rPr>
              <w:t>(126,249)</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(160,874)</w:t>
            </w:r>
          </w:p>
        </w:tc>
      </w:tr>
      <w:tr>
        <w:trPr>
          <w:trHeight w:val="25"/>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5"/>
        </w:trPr>
        <w:tc>
          <w:tcPr>
            <w:tcW w:w="7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w w:val="99"/>
              </w:rPr>
              <w:t>(121,573)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(273,516)</w:t>
            </w:r>
          </w:p>
        </w:tc>
      </w:tr>
      <w:tr>
        <w:trPr>
          <w:trHeight w:val="240"/>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center"/>
              <w:ind w:left="155"/>
              <w:spacing w:after="0"/>
              <w:rPr>
                <w:sz w:val="20"/>
                <w:szCs w:val="20"/>
                <w:color w:val="auto"/>
              </w:rPr>
            </w:pPr>
            <w:r>
              <w:rPr>
                <w:rFonts w:ascii="Times New Roman" w:cs="Times New Roman" w:eastAsia="Times New Roman" w:hAnsi="Times New Roman"/>
                <w:sz w:val="18"/>
                <w:szCs w:val="18"/>
                <w:color w:val="auto"/>
                <w:w w:val="99"/>
              </w:rPr>
              <w:t>401,244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476,790</w:t>
            </w:r>
          </w:p>
        </w:tc>
      </w:tr>
      <w:tr>
        <w:trPr>
          <w:trHeight w:val="25"/>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3"/>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(170,460)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center"/>
              <w:ind w:left="155"/>
              <w:spacing w:after="0"/>
              <w:rPr>
                <w:sz w:val="20"/>
                <w:szCs w:val="20"/>
                <w:color w:val="auto"/>
              </w:rPr>
            </w:pPr>
            <w:r>
              <w:rPr>
                <w:rFonts w:ascii="Times New Roman" w:cs="Times New Roman" w:eastAsia="Times New Roman" w:hAnsi="Times New Roman"/>
                <w:sz w:val="18"/>
                <w:szCs w:val="18"/>
                <w:color w:val="auto"/>
                <w:w w:val="99"/>
              </w:rPr>
              <w:t>153,422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42,400</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During the year ended December 31, 2022, net cash used in operating activities was $169.6 million, primarily reflecting our net loss of</w:t>
      </w:r>
    </w:p>
    <w:p>
      <w:pPr>
        <w:spacing w:after="0" w:line="24"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$183.1 million, a decrease of $82.0 million in net operating assets and liabilities primarily driven by a $84.7 million decrease in deferred revenue due to non-cash revenue recognized and a $2.0 million decrease in prepaid expenses, other current assets and other assets, offset by a $4.9 million increase in operating lease liabilities due primarily to tenant improvement allowances received. These decreases were partially offset by $95.6 million of non-cash expenses primarily related to stock-based compensation of $81.9 million, depreciation and amortization of $18.0 million and impairment of other investments of $5.0 million. Additionally, we recognized decreases for the $5.1 million change in the fair value of success payment liabilities and $2.9 million for the non-cash adjustment of the gain on other investments.</w:t>
      </w:r>
    </w:p>
    <w:p>
      <w:pPr>
        <w:spacing w:after="0" w:line="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During the year ended December 31, 2021, net cash used in operating activities was $126.2 million, consisting primarily of our net loss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$250.2 million, partially offset by certain non-cash items such as stock-based compensation expense of $62.2 million, impairment of other investments of</w:t>
      </w:r>
    </w:p>
    <w:p>
      <w:pPr>
        <w:spacing w:after="0" w:line="5"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$36.4 million, depreciation and amortization expense of $13.6 million and the change in fair value of success payment liabilities of $3.7 million. Additionally, net operating assets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and liabilities increased $4.0 million, which included an increase in operating lease liabilities due to tenant improvement allowances received of $13.3 million offset by the recognition of $10.5 million of revenue previously recorded as deferred revenue.</w:t>
      </w:r>
    </w:p>
    <w:p>
      <w:pPr>
        <w:spacing w:after="0" w:line="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3" w:lineRule="exact"/>
        <w:rPr>
          <w:sz w:val="20"/>
          <w:szCs w:val="20"/>
          <w:color w:val="auto"/>
        </w:rPr>
      </w:pPr>
    </w:p>
    <w:p>
      <w:pPr>
        <w:jc w:val="both"/>
        <w:ind w:right="80" w:firstLine="636"/>
        <w:spacing w:after="0" w:line="282" w:lineRule="auto"/>
        <w:rPr>
          <w:sz w:val="20"/>
          <w:szCs w:val="20"/>
          <w:color w:val="auto"/>
        </w:rPr>
      </w:pPr>
      <w:r>
        <w:rPr>
          <w:rFonts w:ascii="Times New Roman" w:cs="Times New Roman" w:eastAsia="Times New Roman" w:hAnsi="Times New Roman"/>
          <w:sz w:val="17"/>
          <w:szCs w:val="17"/>
          <w:color w:val="auto"/>
        </w:rPr>
        <w:t>During the year ended December 31, 2022, cash used in investing activities was $11.5 million, consisting of purchases of property and equipment of $24.3 million offset by net maturities, sales and purchases of marketable securities of $12.7 million. During the year ended December 31, 2021, cash used in investing activities was $121.6 million, consisting of net purchases of marketable securities of $56.1 million and capital expenditures of $65.5 million.</w:t>
      </w:r>
    </w:p>
    <w:p>
      <w:pPr>
        <w:spacing w:after="0" w:line="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3" w:lineRule="exact"/>
        <w:rPr>
          <w:sz w:val="20"/>
          <w:szCs w:val="20"/>
          <w:color w:val="auto"/>
        </w:rPr>
      </w:pPr>
    </w:p>
    <w:p>
      <w:pPr>
        <w:ind w:right="160" w:firstLine="636"/>
        <w:spacing w:after="0" w:line="274" w:lineRule="auto"/>
        <w:rPr>
          <w:sz w:val="20"/>
          <w:szCs w:val="20"/>
          <w:color w:val="auto"/>
        </w:rPr>
      </w:pPr>
      <w:r>
        <w:rPr>
          <w:rFonts w:ascii="Times New Roman" w:cs="Times New Roman" w:eastAsia="Times New Roman" w:hAnsi="Times New Roman"/>
          <w:sz w:val="17"/>
          <w:szCs w:val="17"/>
          <w:color w:val="auto"/>
        </w:rPr>
        <w:t>During the year ended December 31, 2022, cash provided by financing activities was $10.6 million, consisting of $9.6 million in proceeds from the exercise of stock options and $1.5 million in proceeds from the employee stock purchase plan, partially offset by $0.5 million in taxes paid related to the net share settlement of equity awards. During the year ended December 31, 2021, cash provided by financing activities was $401.2 million, consisting of $391.8 million in net proceeds from the sale of our common stock in our IPO and $9.4 million in proceeds from the exercise of stock options.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13" w:lineRule="exact"/>
        <w:rPr>
          <w:sz w:val="20"/>
          <w:szCs w:val="20"/>
          <w:color w:val="auto"/>
        </w:rPr>
      </w:pPr>
    </w:p>
    <w:p>
      <w:pPr>
        <w:ind w:firstLine="636"/>
        <w:spacing w:after="0" w:line="266" w:lineRule="auto"/>
        <w:rPr>
          <w:sz w:val="20"/>
          <w:szCs w:val="20"/>
          <w:color w:val="auto"/>
        </w:rPr>
      </w:pPr>
      <w:r>
        <w:rPr>
          <w:rFonts w:ascii="Times New Roman" w:cs="Times New Roman" w:eastAsia="Times New Roman" w:hAnsi="Times New Roman"/>
          <w:sz w:val="17"/>
          <w:szCs w:val="17"/>
          <w:color w:val="auto"/>
        </w:rPr>
        <w:t>Our audited consolidated financial statements are prepared in accordance with U.S. GAAP. The preparation of these consolidated financial statements requires us to make estimates and assumptions that affect the reported amounts of assets and liabilities and the disclosure of contingent assets and liabilities at the date of the audited consolidated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While our significant accounting policies are described in more detail in the notes to our audited consolidated financial statements included in Part II, Item 8 of this Annual Report on Form 10-K, we believe that the following accounting policies are critical to understanding our historical and future performance, as these policies relate to the more significant areas involving management’s judgments and estimates.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86" w:lineRule="exact"/>
        <w:rPr>
          <w:sz w:val="20"/>
          <w:szCs w:val="20"/>
          <w:color w:val="auto"/>
        </w:rPr>
      </w:pPr>
    </w:p>
    <w:p>
      <w:pPr>
        <w:jc w:val="both"/>
        <w:ind w:right="60" w:firstLine="636"/>
        <w:spacing w:after="0" w:line="228" w:lineRule="exact"/>
        <w:rPr>
          <w:sz w:val="20"/>
          <w:szCs w:val="20"/>
          <w:color w:val="auto"/>
        </w:rPr>
      </w:pPr>
      <w:r>
        <w:rPr>
          <w:rFonts w:ascii="Times New Roman" w:cs="Times New Roman" w:eastAsia="Times New Roman" w:hAnsi="Times New Roman"/>
          <w:sz w:val="18"/>
          <w:szCs w:val="18"/>
          <w:color w:val="auto"/>
        </w:rPr>
        <w:t>We recognize revenue from research services generally as services are provided while revenue from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refundable upfront fees are recognized over time by measuring progress towards satisfaction of the relevant performance obligation using the input method (i.e., cumulative actual costs incurred relative to total estimated costs).</w:t>
      </w:r>
    </w:p>
    <w:p>
      <w:pPr>
        <w:spacing w:after="0" w:line="87" w:lineRule="exact"/>
        <w:rPr>
          <w:sz w:val="20"/>
          <w:szCs w:val="20"/>
          <w:color w:val="auto"/>
        </w:rPr>
      </w:pPr>
    </w:p>
    <w:p>
      <w:pPr>
        <w:ind w:right="400" w:firstLine="636"/>
        <w:spacing w:after="0" w:line="259" w:lineRule="auto"/>
        <w:rPr>
          <w:sz w:val="20"/>
          <w:szCs w:val="20"/>
          <w:color w:val="auto"/>
        </w:rPr>
      </w:pPr>
      <w:r>
        <w:rPr>
          <w:rFonts w:ascii="Times New Roman" w:cs="Times New Roman" w:eastAsia="Times New Roman" w:hAnsi="Times New Roman"/>
          <w:sz w:val="18"/>
          <w:szCs w:val="18"/>
          <w:color w:val="auto"/>
        </w:rPr>
        <w:t>The estimation of measure of progress is complex, involves significant judgment and is affected by our estimates of the total costs required to complete the performance obligations including the total internal personnel costs and external costs to be incurred. Changes in these estimates can have a material effect on our revenue recognition.</w:t>
      </w:r>
    </w:p>
    <w:p>
      <w:pPr>
        <w:spacing w:after="0" w:line="70" w:lineRule="exact"/>
        <w:rPr>
          <w:sz w:val="20"/>
          <w:szCs w:val="20"/>
          <w:color w:val="auto"/>
        </w:rPr>
      </w:pPr>
    </w:p>
    <w:p>
      <w:pPr>
        <w:ind w:right="360" w:firstLine="636"/>
        <w:spacing w:after="0" w:line="276" w:lineRule="auto"/>
        <w:rPr>
          <w:sz w:val="20"/>
          <w:szCs w:val="20"/>
          <w:color w:val="auto"/>
        </w:rPr>
      </w:pPr>
      <w:r>
        <w:rPr>
          <w:rFonts w:ascii="Times New Roman" w:cs="Times New Roman" w:eastAsia="Times New Roman" w:hAnsi="Times New Roman"/>
          <w:sz w:val="18"/>
          <w:szCs w:val="18"/>
          <w:color w:val="auto"/>
        </w:rPr>
        <w:t xml:space="preserve">For a further description of our revenue recognition, see Note 2, </w:t>
      </w:r>
      <w:r>
        <w:rPr>
          <w:rFonts w:ascii="Times New Roman" w:cs="Times New Roman" w:eastAsia="Times New Roman" w:hAnsi="Times New Roman"/>
          <w:sz w:val="18"/>
          <w:szCs w:val="18"/>
          <w:i w:val="1"/>
          <w:iCs w:val="1"/>
          <w:color w:val="auto"/>
        </w:rPr>
        <w:t>Basis of Presentation and Significant Accounting Policies,</w:t>
      </w:r>
      <w:r>
        <w:rPr>
          <w:rFonts w:ascii="Times New Roman" w:cs="Times New Roman" w:eastAsia="Times New Roman" w:hAnsi="Times New Roman"/>
          <w:sz w:val="18"/>
          <w:szCs w:val="18"/>
          <w:color w:val="auto"/>
        </w:rPr>
        <w:t xml:space="preserve"> in the accompanying notes to our audited consolidated financial statements included in Part II, Item 8,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 Payments</w:t>
      </w:r>
    </w:p>
    <w:p>
      <w:pPr>
        <w:spacing w:after="0" w:line="115" w:lineRule="exact"/>
        <w:rPr>
          <w:sz w:val="20"/>
          <w:szCs w:val="20"/>
          <w:color w:val="auto"/>
        </w:rPr>
      </w:pPr>
    </w:p>
    <w:p>
      <w:pPr>
        <w:ind w:right="40" w:firstLine="636"/>
        <w:spacing w:after="0" w:line="265" w:lineRule="auto"/>
        <w:rPr>
          <w:sz w:val="20"/>
          <w:szCs w:val="20"/>
          <w:color w:val="auto"/>
        </w:rPr>
      </w:pPr>
      <w:r>
        <w:rPr>
          <w:rFonts w:ascii="Times New Roman" w:cs="Times New Roman" w:eastAsia="Times New Roman" w:hAnsi="Times New Roman"/>
          <w:sz w:val="17"/>
          <w:szCs w:val="17"/>
          <w:color w:val="auto"/>
        </w:rPr>
        <w:t xml:space="preserve">We are required to make success payments to Fred Hutch and Stanford based on increases in the per share market value of our common stock, payable in cash or cash equivalents or, at our discretion, publicly tradeable shares of our common stock. The success payments are accounted for under Accounting Standards Codification (ASC) 718, </w:t>
      </w:r>
      <w:r>
        <w:rPr>
          <w:rFonts w:ascii="Times New Roman" w:cs="Times New Roman" w:eastAsia="Times New Roman" w:hAnsi="Times New Roman"/>
          <w:sz w:val="17"/>
          <w:szCs w:val="17"/>
          <w:i w:val="1"/>
          <w:iCs w:val="1"/>
          <w:color w:val="auto"/>
        </w:rPr>
        <w:t>Compensation – Stock Compensation</w:t>
      </w:r>
      <w:r>
        <w:rPr>
          <w:rFonts w:ascii="Times New Roman" w:cs="Times New Roman" w:eastAsia="Times New Roman" w:hAnsi="Times New Roman"/>
          <w:sz w:val="17"/>
          <w:szCs w:val="17"/>
          <w:color w:val="auto"/>
        </w:rPr>
        <w:t xml:space="preserve">, and are initially recorded at fair value with a corresponding charge to research and development expense. The liabilities are marked to market at each balance sheet date with all changes in value recognized in research and development expense in the Consolidated Statements of Operations and Comprehensive Loss. Once their service periods are complete, the success payments will be accounted for under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and fair value changes will be recorded in other income (expense), net. We will continue to adjust the liabilities for changes in fair value until the earlier of the achievement or expiration of the success payment obligation. To determine the estimated fair value of the success payments, we use a Monte Carlo simulation model, which models the value of the liability based on several key variables that require judgment, including the expected fair value and volatility of our common stock, estimated term and number of valuation measurement dates.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5" w:lineRule="exact"/>
        <w:rPr>
          <w:sz w:val="20"/>
          <w:szCs w:val="20"/>
          <w:color w:val="auto"/>
        </w:rPr>
      </w:pPr>
    </w:p>
    <w:p>
      <w:pPr>
        <w:ind w:right="20" w:firstLine="636"/>
        <w:spacing w:after="0" w:line="255" w:lineRule="auto"/>
        <w:rPr>
          <w:sz w:val="20"/>
          <w:szCs w:val="20"/>
          <w:color w:val="auto"/>
        </w:rPr>
      </w:pPr>
      <w:r>
        <w:rPr>
          <w:rFonts w:ascii="Times New Roman" w:cs="Times New Roman" w:eastAsia="Times New Roman" w:hAnsi="Times New Roman"/>
          <w:sz w:val="18"/>
          <w:szCs w:val="18"/>
          <w:color w:val="auto"/>
        </w:rPr>
        <w:t>Stock-based compensation cost is recognized for restricted stock awards (“RSAs”), restricted stock units (“RSUs”), employee stock purchases related to the Employee Stock Purchase Plan and stock options. Stock-based compensation cost is measured at the grant date based on the fair value of the award. The fair value of stock-based awards is recognized as an expense on a straight-line basis over the requisite service period, with forfeitures recognized as they occur.</w:t>
      </w:r>
    </w:p>
    <w:p>
      <w:pPr>
        <w:spacing w:after="0" w:line="74" w:lineRule="exact"/>
        <w:rPr>
          <w:sz w:val="20"/>
          <w:szCs w:val="20"/>
          <w:color w:val="auto"/>
        </w:rPr>
      </w:pPr>
    </w:p>
    <w:p>
      <w:pPr>
        <w:jc w:val="both"/>
        <w:ind w:right="20" w:firstLine="636"/>
        <w:spacing w:after="0" w:line="259" w:lineRule="auto"/>
        <w:rPr>
          <w:sz w:val="20"/>
          <w:szCs w:val="20"/>
          <w:color w:val="auto"/>
        </w:rPr>
      </w:pPr>
      <w:r>
        <w:rPr>
          <w:rFonts w:ascii="Times New Roman" w:cs="Times New Roman" w:eastAsia="Times New Roman" w:hAnsi="Times New Roman"/>
          <w:sz w:val="18"/>
          <w:szCs w:val="18"/>
          <w:color w:val="auto"/>
        </w:rPr>
        <w:t>We use the Black-Scholes model to determine the fair value of our options. The Black-Scholes option pricing model requires the use of assumptions, including stock price volatility, the expected life of stock options, risk-free interest rate and the fair value of the underlying common stock on the date of grant. Our restricted stock awards and restricted stock units are valued based on the fair market value of the award on the grant date.</w:t>
      </w:r>
    </w:p>
    <w:p>
      <w:pPr>
        <w:spacing w:after="0" w:line="72" w:lineRule="exact"/>
        <w:rPr>
          <w:sz w:val="20"/>
          <w:szCs w:val="20"/>
          <w:color w:val="auto"/>
        </w:rPr>
      </w:pPr>
    </w:p>
    <w:p>
      <w:pPr>
        <w:ind w:right="60" w:firstLine="636"/>
        <w:spacing w:after="0" w:line="255" w:lineRule="auto"/>
        <w:rPr>
          <w:sz w:val="20"/>
          <w:szCs w:val="20"/>
          <w:color w:val="auto"/>
        </w:rPr>
      </w:pPr>
      <w:r>
        <w:rPr>
          <w:rFonts w:ascii="Times New Roman" w:cs="Times New Roman" w:eastAsia="Times New Roman" w:hAnsi="Times New Roman"/>
          <w:sz w:val="18"/>
          <w:szCs w:val="18"/>
          <w:color w:val="auto"/>
        </w:rPr>
        <w:t>Prior to the closing of our IPO, the fair value of the common stock underlying our stock-based awards was estimated on each grant date by our board of directors using significant judgment to estimate the fair value of our common stock, including considering our stage of development; progress of our research and development efforts; the rights, preferences and privileges of our convertible preferred stock relative to those of our common stock; equity market conditions affecting comparable public companies; and the lack of marketability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Other Investments</w:t>
      </w:r>
    </w:p>
    <w:p>
      <w:pPr>
        <w:spacing w:after="0" w:line="115" w:lineRule="exact"/>
        <w:rPr>
          <w:sz w:val="20"/>
          <w:szCs w:val="20"/>
          <w:color w:val="auto"/>
        </w:rPr>
      </w:pPr>
    </w:p>
    <w:p>
      <w:pPr>
        <w:ind w:firstLine="636"/>
        <w:spacing w:after="0" w:line="251" w:lineRule="auto"/>
        <w:rPr>
          <w:sz w:val="20"/>
          <w:szCs w:val="20"/>
          <w:color w:val="auto"/>
        </w:rPr>
      </w:pPr>
      <w:r>
        <w:rPr>
          <w:rFonts w:ascii="Times New Roman" w:cs="Times New Roman" w:eastAsia="Times New Roman" w:hAnsi="Times New Roman"/>
          <w:sz w:val="18"/>
          <w:szCs w:val="18"/>
          <w:color w:val="auto"/>
        </w:rPr>
        <w:t>We have non-marketable equity investments that are accounted for using the measurement alternative. Under the measurement alternative, the carrying value is measured at cost, less any impairment, plus or minus changes resulting from observable price changes in orderly transactions for the identical or a similar investment of the same issuer. Determining whether an observed transaction is similar to a security within our portfolio requires judgment based on the rights and obligations of the investments. Recording upward and downward adjustments to the carrying value of our equity investments as a result of observable price changes requires quantitative assessments of the fair value of our investments using various valuation methodologies and involves the use of estimates.</w:t>
      </w:r>
    </w:p>
    <w:p>
      <w:pPr>
        <w:spacing w:after="0" w:line="79" w:lineRule="exact"/>
        <w:rPr>
          <w:sz w:val="20"/>
          <w:szCs w:val="20"/>
          <w:color w:val="auto"/>
        </w:rPr>
      </w:pPr>
    </w:p>
    <w:p>
      <w:pPr>
        <w:ind w:right="20" w:firstLine="636"/>
        <w:spacing w:after="0" w:line="268" w:lineRule="auto"/>
        <w:rPr>
          <w:sz w:val="20"/>
          <w:szCs w:val="20"/>
          <w:color w:val="auto"/>
        </w:rPr>
      </w:pPr>
      <w:r>
        <w:rPr>
          <w:rFonts w:ascii="Times New Roman" w:cs="Times New Roman" w:eastAsia="Times New Roman" w:hAnsi="Times New Roman"/>
          <w:sz w:val="17"/>
          <w:szCs w:val="17"/>
          <w:color w:val="auto"/>
        </w:rPr>
        <w:t>We determine at the inception of each arrangement whether an investment or other interest is considered a variable interest entity (VIE). If the investment or other interest is determined to be a VIE, we evaluate whether we are considered the primary beneficiary. The primary beneficiary of a VIE is the party that meets both of the following criteria: (i) has the power to direct the activities that most significantly impact the VIE’s economic performance; and</w:t>
      </w:r>
    </w:p>
    <w:p>
      <w:pPr>
        <w:spacing w:after="0" w:line="1" w:lineRule="exact"/>
        <w:rPr>
          <w:sz w:val="20"/>
          <w:szCs w:val="20"/>
          <w:color w:val="auto"/>
        </w:rPr>
      </w:pPr>
    </w:p>
    <w:p>
      <w:pPr>
        <w:ind w:right="280" w:firstLine="6"/>
        <w:spacing w:after="0" w:line="248" w:lineRule="auto"/>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obligation to absorb losses or the right to receive benefits from the VIE. For any investments in VIEs in which we are considered the primary beneficiary, the assets, liabilities and results of operations of the VIE would be included in our consolidated financial statements. As of December 31, 2022 and 2021, there were no VIEs for which we were the primary beneficiary.</w:t>
      </w:r>
    </w:p>
    <w:p>
      <w:pPr>
        <w:spacing w:after="0" w:line="81" w:lineRule="exact"/>
        <w:rPr>
          <w:sz w:val="20"/>
          <w:szCs w:val="20"/>
          <w:color w:val="auto"/>
        </w:rPr>
      </w:pPr>
    </w:p>
    <w:p>
      <w:pPr>
        <w:ind w:right="20" w:firstLine="636"/>
        <w:spacing w:after="0" w:line="251" w:lineRule="auto"/>
        <w:rPr>
          <w:sz w:val="20"/>
          <w:szCs w:val="20"/>
          <w:color w:val="auto"/>
        </w:rPr>
      </w:pPr>
      <w:r>
        <w:rPr>
          <w:rFonts w:ascii="Times New Roman" w:cs="Times New Roman" w:eastAsia="Times New Roman" w:hAnsi="Times New Roman"/>
          <w:sz w:val="18"/>
          <w:szCs w:val="18"/>
          <w:color w:val="auto"/>
        </w:rPr>
        <w:t>Non-marketable equity investments are also subject to periodic impairment reviews. Our quarterly impairment analysis considers both qualitative and quantitative factors that may have a significant effect on the investment’s fair value. Qualitative factors considered include the companies’ financial and liquidity position, access to capital resources and the time since the last adjustment to fair value, among others. When indicators of impairment exist, we prepare quantitative assessments of the fair value of our equity investments using both the market and income approaches that require judgment and the use of estimates, including discount rates, investee revenues and costs, and comparable market data of private and public companies reasonably available, among others. When our assessment indicates that an impairment exists, we write down the investment to its fair value.</w:t>
      </w:r>
    </w:p>
    <w:p>
      <w:pPr>
        <w:spacing w:after="0" w:line="79" w:lineRule="exact"/>
        <w:rPr>
          <w:sz w:val="20"/>
          <w:szCs w:val="20"/>
          <w:color w:val="auto"/>
        </w:rPr>
      </w:pPr>
    </w:p>
    <w:p>
      <w:pPr>
        <w:ind w:right="160" w:firstLine="636"/>
        <w:spacing w:after="0" w:line="250" w:lineRule="auto"/>
        <w:rPr>
          <w:sz w:val="20"/>
          <w:szCs w:val="20"/>
          <w:color w:val="auto"/>
        </w:rPr>
      </w:pPr>
      <w:r>
        <w:rPr>
          <w:rFonts w:ascii="Times New Roman" w:cs="Times New Roman" w:eastAsia="Times New Roman" w:hAnsi="Times New Roman"/>
          <w:sz w:val="18"/>
          <w:szCs w:val="18"/>
          <w:color w:val="auto"/>
        </w:rPr>
        <w:t>We performed a qualitative assessment of potential indicators of impairment for 2022 and determined that indicators existed for one of our other investments with a carrying amount of $5.0 million. While there was no single event or factor, we considered the underlying company’s operating cash flow requirements over the next year and liquid asset balances to fund those requirements and the uncertainty regarding the underlying company’s ability to raise funds as indicators of impairment. Due to these indicators, we assessed the valuation of the investment and determined the fair value to be negligible and the impairment to be other-than-temporary in nature. As a result, we recorded a $5.0 million impairment expense for the investment for the year ended December 31, 2022, which was recorded within impairment of other investments on the Consolidated Statement of Operations and Comprehensive Loss and as a reduction of the other investments on the Consolidated Balance Sheet.</w:t>
      </w:r>
    </w:p>
    <w:p>
      <w:pPr>
        <w:spacing w:after="0" w:line="81" w:lineRule="exact"/>
        <w:rPr>
          <w:sz w:val="20"/>
          <w:szCs w:val="20"/>
          <w:color w:val="auto"/>
        </w:rPr>
      </w:pPr>
    </w:p>
    <w:p>
      <w:pPr>
        <w:ind w:right="140" w:firstLine="636"/>
        <w:spacing w:after="0" w:line="255" w:lineRule="auto"/>
        <w:rPr>
          <w:sz w:val="20"/>
          <w:szCs w:val="20"/>
          <w:color w:val="auto"/>
        </w:rPr>
      </w:pPr>
      <w:r>
        <w:rPr>
          <w:rFonts w:ascii="Times New Roman" w:cs="Times New Roman" w:eastAsia="Times New Roman" w:hAnsi="Times New Roman"/>
          <w:sz w:val="18"/>
          <w:szCs w:val="18"/>
          <w:color w:val="auto"/>
        </w:rPr>
        <w:t>In connection with the preparation of our financial statements for 2021, we performed a qualitative assessment of potential indicators of impairment and determined that indicators existed for our $36.4 million investment in PACT Series C-1 convertible preferred stock. While there was no single event or factor, we considered PACT’s operating cash flow requirements over the next year and liquid asset balances to fund those requirements and their inability to raise funds as indicators of impairment. Due to these indicators, we assessed the valuation of our investment in PACT as of</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determined the fair value to be negligible and the impairment to be other-than-temporary in nature. As a result, we recorded a</w:t>
      </w:r>
    </w:p>
    <w:p>
      <w:pPr>
        <w:spacing w:after="0" w:line="2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auto"/>
        </w:rPr>
        <w:t>$36.4 million impairment of our PACT investment in the fourth quarter of 2021. The impairment charge was recorded within impairment of other investments on the Consolidated Statement of Operations and Comprehensive Loss and as a reduction of the other investments on the Consolidated Balance Sheet.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Recent Accounting Pronouncements</w:t>
      </w:r>
    </w:p>
    <w:p>
      <w:pPr>
        <w:spacing w:after="0" w:line="111" w:lineRule="exact"/>
        <w:rPr>
          <w:sz w:val="20"/>
          <w:szCs w:val="20"/>
          <w:color w:val="auto"/>
        </w:rPr>
      </w:pPr>
    </w:p>
    <w:p>
      <w:pPr>
        <w:ind w:right="40" w:firstLine="636"/>
        <w:spacing w:after="0" w:line="261"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Basis of Presentation and Significant Accounting Policies,</w:t>
      </w:r>
      <w:r>
        <w:rPr>
          <w:rFonts w:ascii="Times New Roman" w:cs="Times New Roman" w:eastAsia="Times New Roman" w:hAnsi="Times New Roman"/>
          <w:sz w:val="18"/>
          <w:szCs w:val="18"/>
          <w:color w:val="auto"/>
        </w:rPr>
        <w:t xml:space="preserve"> in the accompanying notes to our audited consolidated financial statements included in Part II, Item 8 of this Annual Report on Form 10-K for information about recent accounting pronouncements, the timing of their adoption and our assessment, to the extent we have made one yet, of their potential impact 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Our primary risks include interest rate sensitivities.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15" w:lineRule="exact"/>
        <w:rPr>
          <w:sz w:val="20"/>
          <w:szCs w:val="20"/>
          <w:color w:val="auto"/>
        </w:rPr>
      </w:pPr>
    </w:p>
    <w:p>
      <w:pPr>
        <w:ind w:right="180" w:firstLine="636"/>
        <w:spacing w:after="0" w:line="269" w:lineRule="auto"/>
        <w:rPr>
          <w:sz w:val="20"/>
          <w:szCs w:val="20"/>
          <w:color w:val="auto"/>
        </w:rPr>
      </w:pPr>
      <w:r>
        <w:rPr>
          <w:rFonts w:ascii="Times New Roman" w:cs="Times New Roman" w:eastAsia="Times New Roman" w:hAnsi="Times New Roman"/>
          <w:sz w:val="17"/>
          <w:szCs w:val="17"/>
          <w:color w:val="auto"/>
        </w:rPr>
        <w:t>We had cash equivalents of $107.8 million as of December 31, 2022, which consisted of money market funds and highly liquid investments purchased with original maturities of three months or less from the purchase date. We also had marketable securities of $586.7 million as of December 31, 2022. The primary objective of our investment activities is to preserve capital to fund our operations, and we currently do not hedge our interest rate risk exposure. Because our marketable securities are primarily short-term in duration, we believe that our exposure to interest rate risk is not significant, and a hypothetical 10% relative change in interest rates during any of the periods presented would not have had a material effect on our audited consolidated financial statements included in Part II, Item 8 of this Annual Report on Form 10-K. We had no debt outstanding as of December 31, 2022.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15" w:lineRule="exact"/>
        <w:rPr>
          <w:sz w:val="20"/>
          <w:szCs w:val="20"/>
          <w:color w:val="auto"/>
        </w:rPr>
      </w:pPr>
    </w:p>
    <w:p>
      <w:pPr>
        <w:ind w:right="160" w:firstLine="636"/>
        <w:spacing w:after="0" w:line="269" w:lineRule="auto"/>
        <w:rPr>
          <w:sz w:val="20"/>
          <w:szCs w:val="20"/>
          <w:color w:val="auto"/>
        </w:rPr>
      </w:pPr>
      <w:r>
        <w:rPr>
          <w:rFonts w:ascii="Times New Roman" w:cs="Times New Roman" w:eastAsia="Times New Roman" w:hAnsi="Times New Roman"/>
          <w:sz w:val="17"/>
          <w:szCs w:val="17"/>
          <w:color w:val="auto"/>
        </w:rPr>
        <w:t>All of our employees and operations are currently located in the United States and our expenses are generally denominated in U.S. dollars. We therefore are not currently exposed to significant market risk related to changes in foreign currency exchange rates. However, we have contracted with and may continue to contract with non-U.S. vendors who we may pay in their local currency. Our operations may be subject to fluctuations in foreign currency exchange rates in the future. To date, foreign currency transaction gains and losses have not been material to our consolidated financial statements, and we have not had a formal hedging program with respect to foreign currency. We believe a hypothetical 1% change in exchange rates during any of the periods presented would not have a material effect on our consolidated financial statements included in Part II, Item 8 of this Annual Report on Form 10-K.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15"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our clinical trial costs. We believe that inflation has not had a material effect on our audited consolidated financial statements included in Part II, Item 8 of this Annual Report on Form 10-K.</w:t>
      </w:r>
    </w:p>
    <w:p>
      <w:pPr>
        <w:spacing w:after="0" w:line="200" w:lineRule="exact"/>
        <w:rPr>
          <w:sz w:val="20"/>
          <w:szCs w:val="20"/>
          <w:color w:val="auto"/>
        </w:rPr>
      </w:pPr>
    </w:p>
    <w:p>
      <w:pPr>
        <w:spacing w:after="0" w:line="3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LYELL IMMUNOPHARMA,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2022, 2021 and 2020</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Borders>
              <w:bottom w:val="single" w:sz="8" w:color="CCEEFF"/>
            </w:tcBorders>
            <w:shd w:val="clear" w:color="auto" w:fill="CCEEFF"/>
          </w:tcPr>
          <w:p>
            <w:pPr>
              <w:spacing w:after="0"/>
              <w:rPr>
                <w:sz w:val="22"/>
                <w:szCs w:val="22"/>
                <w:color w:val="auto"/>
              </w:rPr>
            </w:pPr>
          </w:p>
        </w:tc>
        <w:tc>
          <w:tcPr>
            <w:tcW w:w="5400" w:type="dxa"/>
            <w:vAlign w:val="bottom"/>
            <w:tcBorders>
              <w:bottom w:val="single" w:sz="8" w:color="0E32E1"/>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E32E1"/>
                <w:w w:val="97"/>
              </w:rPr>
              <w:t>Report of Independent Registered Public Accounting Firm (PCAOB ID: 42)</w:t>
            </w:r>
          </w:p>
        </w:tc>
        <w:tc>
          <w:tcPr>
            <w:tcW w:w="3460" w:type="dxa"/>
            <w:vAlign w:val="bottom"/>
            <w:tcBorders>
              <w:bottom w:val="single" w:sz="8" w:color="CCEEFF"/>
            </w:tcBorders>
            <w:gridSpan w:val="2"/>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0E32E1"/>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E32E1"/>
                <w:w w:val="88"/>
              </w:rPr>
              <w:t>86</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40"/>
        </w:trPr>
        <w:tc>
          <w:tcPr>
            <w:tcW w:w="20" w:type="dxa"/>
            <w:vAlign w:val="bottom"/>
          </w:tcPr>
          <w:p>
            <w:pPr>
              <w:spacing w:after="0"/>
              <w:rPr>
                <w:sz w:val="20"/>
                <w:szCs w:val="20"/>
                <w:color w:val="auto"/>
              </w:rPr>
            </w:pPr>
          </w:p>
        </w:tc>
        <w:tc>
          <w:tcPr>
            <w:tcW w:w="8860" w:type="dxa"/>
            <w:vAlign w:val="bottom"/>
            <w:gridSpan w:val="8"/>
          </w:tcPr>
          <w:p>
            <w:pPr>
              <w:spacing w:after="0"/>
              <w:rPr>
                <w:sz w:val="20"/>
                <w:szCs w:val="20"/>
                <w:color w:val="auto"/>
              </w:rPr>
            </w:pPr>
            <w:r>
              <w:rPr>
                <w:rFonts w:ascii="Times New Roman" w:cs="Times New Roman" w:eastAsia="Times New Roman" w:hAnsi="Times New Roman"/>
                <w:sz w:val="18"/>
                <w:szCs w:val="18"/>
                <w:color w:val="0E32E1"/>
              </w:rPr>
              <w:t>Audited Consolidated Financial Statements:</w:t>
            </w:r>
          </w:p>
        </w:tc>
        <w:tc>
          <w:tcPr>
            <w:tcW w:w="2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5"/>
        </w:trPr>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0E32E1"/>
            </w:tcBorders>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0E32E1"/>
                <w:w w:val="97"/>
              </w:rPr>
              <w:t>Consolidated Balance Sheets</w:t>
            </w:r>
          </w:p>
        </w:tc>
        <w:tc>
          <w:tcPr>
            <w:tcW w:w="6560" w:type="dxa"/>
            <w:vAlign w:val="bottom"/>
            <w:tcBorders>
              <w:bottom w:val="single" w:sz="8" w:color="CCEEFF"/>
            </w:tcBorders>
            <w:gridSpan w:val="6"/>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E32E1"/>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0E32E1"/>
                <w:w w:val="88"/>
              </w:rPr>
              <w:t>88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199"/>
        </w:trPr>
        <w:tc>
          <w:tcPr>
            <w:tcW w:w="20" w:type="dxa"/>
            <w:vAlign w:val="bottom"/>
          </w:tcPr>
          <w:p>
            <w:pPr>
              <w:spacing w:after="0"/>
              <w:rPr>
                <w:sz w:val="17"/>
                <w:szCs w:val="17"/>
                <w:color w:val="auto"/>
              </w:rPr>
            </w:pPr>
          </w:p>
        </w:tc>
        <w:tc>
          <w:tcPr>
            <w:tcW w:w="8860" w:type="dxa"/>
            <w:vAlign w:val="bottom"/>
            <w:gridSpan w:val="8"/>
          </w:tcPr>
          <w:p>
            <w:pPr>
              <w:ind w:left="240"/>
              <w:spacing w:after="0" w:line="192" w:lineRule="exact"/>
              <w:rPr>
                <w:sz w:val="20"/>
                <w:szCs w:val="20"/>
                <w:color w:val="auto"/>
              </w:rPr>
            </w:pPr>
            <w:r>
              <w:rPr>
                <w:rFonts w:ascii="Times New Roman" w:cs="Times New Roman" w:eastAsia="Times New Roman" w:hAnsi="Times New Roman"/>
                <w:sz w:val="18"/>
                <w:szCs w:val="18"/>
                <w:color w:val="0E32E1"/>
              </w:rPr>
              <w:t>Consolidated Statements of Operations and Comprehensive Loss</w:t>
            </w:r>
          </w:p>
        </w:tc>
        <w:tc>
          <w:tcPr>
            <w:tcW w:w="2160" w:type="dxa"/>
            <w:vAlign w:val="bottom"/>
          </w:tcPr>
          <w:p>
            <w:pPr>
              <w:spacing w:after="0"/>
              <w:rPr>
                <w:sz w:val="17"/>
                <w:szCs w:val="17"/>
                <w:color w:val="auto"/>
              </w:rPr>
            </w:pPr>
          </w:p>
        </w:tc>
        <w:tc>
          <w:tcPr>
            <w:tcW w:w="180" w:type="dxa"/>
            <w:vAlign w:val="bottom"/>
            <w:tcBorders>
              <w:bottom w:val="single" w:sz="8" w:color="0E32E1"/>
            </w:tcBorders>
          </w:tcPr>
          <w:p>
            <w:pPr>
              <w:jc w:val="right"/>
              <w:spacing w:after="0" w:line="179" w:lineRule="exact"/>
              <w:rPr>
                <w:sz w:val="20"/>
                <w:szCs w:val="20"/>
                <w:color w:val="auto"/>
              </w:rPr>
            </w:pPr>
            <w:r>
              <w:rPr>
                <w:rFonts w:ascii="Times New Roman" w:cs="Times New Roman" w:eastAsia="Times New Roman" w:hAnsi="Times New Roman"/>
                <w:sz w:val="18"/>
                <w:szCs w:val="18"/>
                <w:color w:val="0E32E1"/>
                <w:w w:val="88"/>
              </w:rPr>
              <w:t>89</w:t>
            </w:r>
          </w:p>
        </w:tc>
        <w:tc>
          <w:tcPr>
            <w:tcW w:w="20" w:type="dxa"/>
            <w:vAlign w:val="bottom"/>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Borders>
              <w:bottom w:val="single" w:sz="8" w:color="0E32E1"/>
            </w:tcBorders>
          </w:tcPr>
          <w:p>
            <w:pPr>
              <w:spacing w:after="0"/>
              <w:rPr>
                <w:sz w:val="2"/>
                <w:szCs w:val="2"/>
                <w:color w:val="auto"/>
              </w:rPr>
            </w:pPr>
          </w:p>
        </w:tc>
        <w:tc>
          <w:tcPr>
            <w:tcW w:w="760" w:type="dxa"/>
            <w:vAlign w:val="bottom"/>
            <w:tcBorders>
              <w:bottom w:val="single" w:sz="8" w:color="0E32E1"/>
            </w:tcBorders>
          </w:tcPr>
          <w:p>
            <w:pPr>
              <w:spacing w:after="0"/>
              <w:rPr>
                <w:sz w:val="2"/>
                <w:szCs w:val="2"/>
                <w:color w:val="auto"/>
              </w:rPr>
            </w:pPr>
          </w:p>
        </w:tc>
        <w:tc>
          <w:tcPr>
            <w:tcW w:w="280" w:type="dxa"/>
            <w:vAlign w:val="bottom"/>
            <w:tcBorders>
              <w:bottom w:val="single" w:sz="8" w:color="0E32E1"/>
            </w:tcBorders>
          </w:tcPr>
          <w:p>
            <w:pPr>
              <w:spacing w:after="0"/>
              <w:rPr>
                <w:sz w:val="2"/>
                <w:szCs w:val="2"/>
                <w:color w:val="auto"/>
              </w:rPr>
            </w:pPr>
          </w:p>
        </w:tc>
        <w:tc>
          <w:tcPr>
            <w:tcW w:w="1500" w:type="dxa"/>
            <w:vAlign w:val="bottom"/>
            <w:tcBorders>
              <w:bottom w:val="single" w:sz="8" w:color="0E32E1"/>
            </w:tcBorders>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8"/>
        </w:trPr>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20" w:type="dxa"/>
            <w:vAlign w:val="bottom"/>
            <w:gridSpan w:val="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E32E1"/>
              </w:rPr>
              <w:t>Consolidated Statements of Convertible Preferred Stock and Stockholders’ Equity (Deficit)</w:t>
            </w:r>
          </w:p>
        </w:tc>
        <w:tc>
          <w:tcPr>
            <w:tcW w:w="23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E32E1"/>
              </w:rPr>
              <w:t>90</w:t>
            </w:r>
          </w:p>
        </w:tc>
        <w:tc>
          <w:tcPr>
            <w:tcW w:w="20" w:type="dxa"/>
            <w:vAlign w:val="bottom"/>
            <w:shd w:val="clear" w:color="auto" w:fill="CCEEFF"/>
          </w:tcPr>
          <w:p>
            <w:pPr>
              <w:spacing w:after="0"/>
              <w:rPr>
                <w:sz w:val="21"/>
                <w:szCs w:val="21"/>
                <w:color w:val="auto"/>
              </w:rPr>
            </w:pPr>
          </w:p>
        </w:tc>
      </w:tr>
      <w:tr>
        <w:trPr>
          <w:trHeight w:val="199"/>
        </w:trPr>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CCEEFF"/>
              <w:bottom w:val="single" w:sz="8" w:color="CCEEFF"/>
            </w:tcBorders>
          </w:tcPr>
          <w:p>
            <w:pPr>
              <w:spacing w:after="0"/>
              <w:rPr>
                <w:sz w:val="17"/>
                <w:szCs w:val="17"/>
                <w:color w:val="auto"/>
              </w:rPr>
            </w:pPr>
          </w:p>
        </w:tc>
        <w:tc>
          <w:tcPr>
            <w:tcW w:w="6460" w:type="dxa"/>
            <w:vAlign w:val="bottom"/>
            <w:tcBorders>
              <w:top w:val="single" w:sz="8" w:color="0E32E1"/>
              <w:bottom w:val="single" w:sz="8" w:color="0E32E1"/>
            </w:tcBorders>
            <w:gridSpan w:val="6"/>
          </w:tcPr>
          <w:p>
            <w:pPr>
              <w:spacing w:after="0" w:line="192" w:lineRule="exact"/>
              <w:rPr>
                <w:sz w:val="20"/>
                <w:szCs w:val="20"/>
                <w:color w:val="auto"/>
              </w:rPr>
            </w:pPr>
            <w:r>
              <w:rPr>
                <w:rFonts w:ascii="Times New Roman" w:cs="Times New Roman" w:eastAsia="Times New Roman" w:hAnsi="Times New Roman"/>
                <w:sz w:val="18"/>
                <w:szCs w:val="18"/>
                <w:color w:val="0E32E1"/>
              </w:rPr>
              <w:t>Consolidated Statements of Cash Flows</w:t>
            </w:r>
          </w:p>
        </w:tc>
        <w:tc>
          <w:tcPr>
            <w:tcW w:w="2160" w:type="dxa"/>
            <w:vAlign w:val="bottom"/>
            <w:tcBorders>
              <w:top w:val="single" w:sz="8" w:color="CCEEFF"/>
              <w:bottom w:val="single" w:sz="8" w:color="CCEEFF"/>
            </w:tcBorders>
          </w:tcPr>
          <w:p>
            <w:pPr>
              <w:spacing w:after="0"/>
              <w:rPr>
                <w:sz w:val="17"/>
                <w:szCs w:val="17"/>
                <w:color w:val="auto"/>
              </w:rPr>
            </w:pPr>
          </w:p>
        </w:tc>
        <w:tc>
          <w:tcPr>
            <w:tcW w:w="216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0E32E1"/>
              <w:bottom w:val="single" w:sz="8" w:color="0E32E1"/>
            </w:tcBorders>
          </w:tcPr>
          <w:p>
            <w:pPr>
              <w:jc w:val="right"/>
              <w:spacing w:after="0" w:line="179" w:lineRule="exact"/>
              <w:rPr>
                <w:sz w:val="20"/>
                <w:szCs w:val="20"/>
                <w:color w:val="auto"/>
              </w:rPr>
            </w:pPr>
            <w:r>
              <w:rPr>
                <w:rFonts w:ascii="Times New Roman" w:cs="Times New Roman" w:eastAsia="Times New Roman" w:hAnsi="Times New Roman"/>
                <w:sz w:val="18"/>
                <w:szCs w:val="18"/>
                <w:color w:val="0E32E1"/>
                <w:w w:val="88"/>
              </w:rPr>
              <w:t>91</w:t>
            </w:r>
          </w:p>
        </w:tc>
        <w:tc>
          <w:tcPr>
            <w:tcW w:w="20" w:type="dxa"/>
            <w:vAlign w:val="bottom"/>
            <w:tcBorders>
              <w:top w:val="single" w:sz="8" w:color="CCEEFF"/>
            </w:tcBorders>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Borders>
              <w:bottom w:val="single" w:sz="8" w:color="0E32E1"/>
            </w:tcBorders>
          </w:tcPr>
          <w:p>
            <w:pPr>
              <w:spacing w:after="0"/>
              <w:rPr>
                <w:sz w:val="2"/>
                <w:szCs w:val="2"/>
                <w:color w:val="auto"/>
              </w:rPr>
            </w:pPr>
          </w:p>
        </w:tc>
        <w:tc>
          <w:tcPr>
            <w:tcW w:w="760" w:type="dxa"/>
            <w:vAlign w:val="bottom"/>
            <w:tcBorders>
              <w:bottom w:val="single" w:sz="8" w:color="0E32E1"/>
            </w:tcBorders>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0E32E1"/>
            </w:tcBorders>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E32E1"/>
                <w:w w:val="97"/>
              </w:rPr>
              <w:t>Notes to Consolidated Financial Statements</w:t>
            </w:r>
          </w:p>
        </w:tc>
        <w:tc>
          <w:tcPr>
            <w:tcW w:w="5520" w:type="dxa"/>
            <w:vAlign w:val="bottom"/>
            <w:tcBorders>
              <w:bottom w:val="single" w:sz="8" w:color="CCEEFF"/>
            </w:tcBorders>
            <w:gridSpan w:val="4"/>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E32E1"/>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E32E1"/>
                <w:w w:val="88"/>
              </w:rPr>
              <w:t>92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889"/>
        </w:trPr>
        <w:tc>
          <w:tcPr>
            <w:tcW w:w="6720" w:type="dxa"/>
            <w:vAlign w:val="bottom"/>
            <w:gridSpan w:val="8"/>
          </w:tcPr>
          <w:p>
            <w:pPr>
              <w:jc w:val="right"/>
              <w:ind w:right="1000"/>
              <w:spacing w:after="0"/>
              <w:rPr>
                <w:sz w:val="20"/>
                <w:szCs w:val="20"/>
                <w:color w:val="auto"/>
              </w:rPr>
            </w:pPr>
            <w:r>
              <w:rPr>
                <w:rFonts w:ascii="Times New Roman" w:cs="Times New Roman" w:eastAsia="Times New Roman" w:hAnsi="Times New Roman"/>
                <w:sz w:val="18"/>
                <w:szCs w:val="18"/>
                <w:color w:val="auto"/>
              </w:rPr>
              <w:t>85</w:t>
            </w:r>
          </w:p>
        </w:tc>
        <w:tc>
          <w:tcPr>
            <w:tcW w:w="2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To the Stockholders and the Board of Directors of Lyell Immunopharma, Inc.</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Opinion on the Financial Statements</w:t>
      </w:r>
    </w:p>
    <w:p>
      <w:pPr>
        <w:spacing w:after="0" w:line="113"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010302"/>
        </w:rPr>
        <w:t>We have audited the accompanying consolidated balance sheets of Lyell Immunopharma, Inc. (the Company) as of December 31, 2022 and 2021, the related consolidated statements of operations and comprehensive loss, convertible preferred stock and stockholders’ equity (deficit)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010302"/>
        </w:rPr>
        <w:t xml:space="preserve">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w:t>
      </w:r>
      <w:r>
        <w:rPr>
          <w:rFonts w:ascii="Times New Roman" w:cs="Times New Roman" w:eastAsia="Times New Roman" w:hAnsi="Times New Roman"/>
          <w:sz w:val="17"/>
          <w:szCs w:val="17"/>
          <w:color w:val="000000"/>
        </w:rPr>
        <w:t>February 28, 2023</w:t>
      </w:r>
      <w:r>
        <w:rPr>
          <w:rFonts w:ascii="Times New Roman" w:cs="Times New Roman" w:eastAsia="Times New Roman" w:hAnsi="Times New Roman"/>
          <w:sz w:val="17"/>
          <w:szCs w:val="17"/>
          <w:color w:val="010302"/>
        </w:rPr>
        <w:t xml:space="preserve"> expressed an unqualified opinion thereon.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Basis for Opinion</w:t>
      </w:r>
    </w:p>
    <w:p>
      <w:pPr>
        <w:spacing w:after="0" w:line="11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7"/>
          <w:szCs w:val="17"/>
          <w:color w:val="010302"/>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3"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010302"/>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Critical Audit Matters</w:t>
      </w:r>
    </w:p>
    <w:p>
      <w:pPr>
        <w:spacing w:after="0" w:line="113"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010302"/>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line="258" w:lineRule="auto"/>
        <w:rPr>
          <w:sz w:val="20"/>
          <w:szCs w:val="20"/>
          <w:color w:val="auto"/>
        </w:rPr>
      </w:pPr>
      <w:r>
        <w:rPr>
          <w:rFonts w:ascii="Times New Roman" w:cs="Times New Roman" w:eastAsia="Times New Roman" w:hAnsi="Times New Roman"/>
          <w:sz w:val="18"/>
          <w:szCs w:val="18"/>
          <w:color w:val="010302"/>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VIE Accounting Considerations for the PACT Transaction</w:t>
      </w:r>
    </w:p>
    <w:p>
      <w:pPr>
        <w:spacing w:after="0" w:line="299"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010302"/>
        </w:rPr>
        <w:t>As described in notes 2, 3, 5 and 6 to the consolidated financial statements, in October 2022, the Company entered into a settlement agreement with PACT Pharma, Inc. (PACT) to resolve their outstanding legal dispute. In connection with the settlement agreement, the parties entered into a stock purchase agreement, pursuant to which PACT issued shares of PACT’s Series D convertible preferred stock, representing approximately 80% of PACT’s fully diluted shares, to the Company in exchange for the Company’s tender of its PACT Series C-1 convertible preferred stock and resolution of the arbitration.</w:t>
      </w:r>
    </w:p>
    <w:p>
      <w:pPr>
        <w:spacing w:after="0" w:line="19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010302"/>
        </w:rPr>
        <w:t>The Company consolidates a variable interest entity (VIE) if it has a variable interest, and it is the primary beneficiary. The primary beneficiary of a VIE has both: (i) the power to direct activities of the VIE that most significantly impact the VIE’s economic performance and (ii) the obligation to absorb losses of the VIE that could potentially be significant to the VIE or the right to receive benefits from the VIE that could potentially be significant to the VIE. If the Company is not the primary beneficiary of a VIE, it accounts for its interest under other applicable GAAP, according to the nature of the investment.</w:t>
      </w:r>
    </w:p>
    <w:p>
      <w:pPr>
        <w:spacing w:after="0" w:line="212"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010302"/>
        </w:rPr>
        <w:t>We identified the initial accounting for the PACT Series D convertible preferred shares as a critical audit matter as there was significant complexity and judgment by management in assessing whether the Company was the primary beneficiary. This in turn led to a high degree of auditor judgment, subjectivity and effort in performing procedures and in evaluating the audit evidence obtained related to this assessment.</w:t>
      </w:r>
    </w:p>
    <w:p>
      <w:pPr>
        <w:spacing w:after="0" w:line="26"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010302"/>
        </w:rPr>
        <w:t>To test the Company’s accounting for its interest in PACT, we engaged in discussions with management regarding the governance of PACT and inspected transaction documents, including the settlement agreement, preferred stock purchase agreement, amended and restated voting rights agreement and PACT’s amended and restated certificate of incorporation, assessed management’s judgments and conclusions regarding the primary beneficiary determination, and evaluated the effectiveness of controls related to management’s assessment.</w:t>
      </w:r>
    </w:p>
    <w:p>
      <w:pPr>
        <w:spacing w:after="0" w:line="605" w:lineRule="exact"/>
        <w:rPr>
          <w:sz w:val="20"/>
          <w:szCs w:val="20"/>
          <w:color w:val="auto"/>
        </w:rPr>
      </w:pPr>
    </w:p>
    <w:p>
      <w:pPr>
        <w:sectPr>
          <w:pgSz w:w="11900" w:h="16838" w:orient="portrait"/>
          <w:cols w:equalWidth="0" w:num="2">
            <w:col w:w="2700" w:space="380"/>
            <w:col w:w="7600"/>
          </w:cols>
          <w:pgMar w:left="320" w:top="121" w:right="89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00" w:lineRule="exact"/>
        <w:rPr>
          <w:sz w:val="20"/>
          <w:szCs w:val="20"/>
          <w:color w:val="auto"/>
        </w:rPr>
      </w:pPr>
    </w:p>
    <w:p>
      <w:pPr>
        <w:spacing w:after="0" w:line="369" w:lineRule="exact"/>
        <w:rPr>
          <w:sz w:val="20"/>
          <w:szCs w:val="20"/>
          <w:color w:val="auto"/>
        </w:rPr>
      </w:pPr>
    </w:p>
    <w:p>
      <w:pPr>
        <w:jc w:val="right"/>
        <w:ind w:right="496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680"/>
          </w:cols>
          <w:pgMar w:left="320" w:top="121" w:right="89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Lyell Immunopharma, Inc.</w:t>
      </w:r>
    </w:p>
    <w:p>
      <w:pPr>
        <w:ind w:left="4540"/>
        <w:spacing w:after="0" w:line="215" w:lineRule="auto"/>
        <w:rPr>
          <w:sz w:val="20"/>
          <w:szCs w:val="20"/>
          <w:color w:val="auto"/>
        </w:rPr>
      </w:pPr>
      <w:r>
        <w:rPr>
          <w:rFonts w:ascii="Times New Roman" w:cs="Times New Roman" w:eastAsia="Times New Roman" w:hAnsi="Times New Roman"/>
          <w:sz w:val="18"/>
          <w:szCs w:val="18"/>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Pr>
          <w:p>
            <w:pPr>
              <w:spacing w:after="0"/>
              <w:rPr>
                <w:sz w:val="16"/>
                <w:szCs w:val="16"/>
                <w:color w:val="auto"/>
              </w:rPr>
            </w:pPr>
          </w:p>
        </w:tc>
      </w:tr>
      <w:tr>
        <w:trPr>
          <w:trHeight w:val="38"/>
        </w:trPr>
        <w:tc>
          <w:tcPr>
            <w:tcW w:w="81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1"/>
        </w:trPr>
        <w:tc>
          <w:tcPr>
            <w:tcW w:w="8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8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2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6"/>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123,554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293,828</w:t>
            </w:r>
          </w:p>
        </w:tc>
      </w:tr>
      <w:tr>
        <w:trPr>
          <w:trHeight w:val="239"/>
        </w:trPr>
        <w:tc>
          <w:tcPr>
            <w:tcW w:w="8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Marketable securities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516,598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320,966</w:t>
            </w:r>
          </w:p>
        </w:tc>
      </w:tr>
      <w:tr>
        <w:trPr>
          <w:trHeight w:val="26"/>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5"/>
        </w:trPr>
        <w:tc>
          <w:tcPr>
            <w:tcW w:w="8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11,492</w:t>
            </w:r>
          </w:p>
        </w:tc>
      </w:tr>
      <w:tr>
        <w:trPr>
          <w:trHeight w:val="233"/>
        </w:trPr>
        <w:tc>
          <w:tcPr>
            <w:tcW w:w="8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651,295</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626,286</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283,531</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47,001</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123,023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120,098</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46,541</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r>
      <w:tr>
        <w:trPr>
          <w:trHeight w:val="26"/>
        </w:trPr>
        <w:tc>
          <w:tcPr>
            <w:tcW w:w="8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937,561</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1,127,406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8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w:t>
            </w:r>
          </w:p>
        </w:tc>
      </w:tr>
      <w:tr>
        <w:trPr>
          <w:trHeight w:val="240"/>
        </w:trPr>
        <w:tc>
          <w:tcPr>
            <w:tcW w:w="8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29,057</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Success payment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9,486</w:t>
            </w:r>
          </w:p>
        </w:tc>
      </w:tr>
      <w:tr>
        <w:trPr>
          <w:trHeight w:val="265"/>
        </w:trPr>
        <w:tc>
          <w:tcPr>
            <w:tcW w:w="8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revenue</w:t>
            </w:r>
            <w:r>
              <w:rPr>
                <w:rFonts w:ascii="Times New Roman" w:cs="Times New Roman" w:eastAsia="Times New Roman" w:hAnsi="Times New Roman"/>
                <w:sz w:val="22"/>
                <w:szCs w:val="22"/>
                <w:color w:val="auto"/>
                <w:vertAlign w:val="superscript"/>
              </w:rPr>
              <w:t>(1)</w:t>
            </w:r>
          </w:p>
        </w:tc>
        <w:tc>
          <w:tcPr>
            <w:tcW w:w="36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w:t>
            </w:r>
          </w:p>
        </w:tc>
      </w:tr>
      <w:tr>
        <w:trPr>
          <w:trHeight w:val="238"/>
        </w:trPr>
        <w:tc>
          <w:tcPr>
            <w:tcW w:w="818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46,738</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63,168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66,650</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r>
              <w:rPr>
                <w:rFonts w:ascii="Times New Roman" w:cs="Times New Roman" w:eastAsia="Times New Roman" w:hAnsi="Times New Roman"/>
                <w:sz w:val="22"/>
                <w:szCs w:val="22"/>
                <w:color w:val="auto"/>
                <w:vertAlign w:val="superscript"/>
              </w:rPr>
              <w:t>(2)</w:t>
            </w:r>
          </w:p>
        </w:tc>
        <w:tc>
          <w:tcPr>
            <w:tcW w:w="3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79,665</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4,566</w:t>
            </w:r>
          </w:p>
        </w:tc>
      </w:tr>
      <w:tr>
        <w:trPr>
          <w:trHeight w:val="25"/>
        </w:trPr>
        <w:tc>
          <w:tcPr>
            <w:tcW w:w="8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8"/>
        </w:trPr>
        <w:tc>
          <w:tcPr>
            <w:tcW w:w="8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104,309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197,619</w:t>
            </w:r>
          </w:p>
        </w:tc>
      </w:tr>
      <w:tr>
        <w:trPr>
          <w:trHeight w:val="22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Commitments and contingencies (Note 16)</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2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 $0.0001 par value; 10,000 shares authorized at December 31, 2022 and 2021, respectively;</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1"/>
        </w:trPr>
        <w:tc>
          <w:tcPr>
            <w:tcW w:w="8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zero shares issued and outstanding at December 31, 2022 and 2021</w:t>
            </w:r>
          </w:p>
        </w:tc>
        <w:tc>
          <w:tcPr>
            <w:tcW w:w="3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Common stock, $0.0001 par value; 500,000 shares authorized at December 31, 2022 and 2021, respectively;</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8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249,567 and 242,738 shares issued and outstanding at December 31, 2022 and 2021,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1,608,306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1,515,748</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r>
      <w:tr>
        <w:trPr>
          <w:trHeight w:val="24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(767,480)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(584,362)</w:t>
            </w:r>
          </w:p>
        </w:tc>
      </w:tr>
      <w:tr>
        <w:trPr>
          <w:trHeight w:val="25"/>
        </w:trPr>
        <w:tc>
          <w:tcPr>
            <w:tcW w:w="8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8"/>
        </w:trPr>
        <w:tc>
          <w:tcPr>
            <w:tcW w:w="8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833,252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929,787</w:t>
            </w:r>
          </w:p>
        </w:tc>
      </w:tr>
      <w:tr>
        <w:trPr>
          <w:trHeight w:val="25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937,561</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1,127,406</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320" w:hanging="314"/>
        <w:spacing w:after="0"/>
        <w:tabs>
          <w:tab w:leader="none" w:pos="3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related-party of zero and $4,988 as of December 31, 2022 and December 31, 2021, respectively.</w:t>
      </w:r>
    </w:p>
    <w:p>
      <w:pPr>
        <w:ind w:left="320" w:hanging="314"/>
        <w:spacing w:after="0"/>
        <w:tabs>
          <w:tab w:leader="none" w:pos="3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related-party of zero and $79,665 as of December 31, 2022 and December 31, 2021, respectively.</w:t>
      </w:r>
    </w:p>
    <w:p>
      <w:pPr>
        <w:sectPr>
          <w:pgSz w:w="11900" w:h="16838" w:orient="portrait"/>
          <w:cols w:equalWidth="0" w:num="1">
            <w:col w:w="11240"/>
          </w:cols>
          <w:pgMar w:left="320" w:top="121" w:right="339" w:bottom="1440" w:gutter="0" w:footer="0" w:header="0"/>
        </w:sect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Lyell Immunopharma, Inc.</w:t>
      </w:r>
    </w:p>
    <w:p>
      <w:pPr>
        <w:jc w:val="center"/>
        <w:spacing w:after="0" w:line="215" w:lineRule="auto"/>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66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38"/>
        </w:trPr>
        <w:tc>
          <w:tcPr>
            <w:tcW w:w="66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84,683</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0" w:type="dxa"/>
            <w:vAlign w:val="bottom"/>
          </w:tcPr>
          <w:p>
            <w:pPr>
              <w:spacing w:after="0"/>
              <w:rPr>
                <w:sz w:val="1"/>
                <w:szCs w:val="1"/>
                <w:color w:val="auto"/>
              </w:rPr>
            </w:pPr>
          </w:p>
        </w:tc>
      </w:tr>
      <w:tr>
        <w:trPr>
          <w:trHeight w:val="24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182,243</w:t>
            </w:r>
          </w:p>
        </w:tc>
        <w:tc>
          <w:tcPr>
            <w:tcW w:w="0" w:type="dxa"/>
            <w:vAlign w:val="bottom"/>
          </w:tcPr>
          <w:p>
            <w:pPr>
              <w:spacing w:after="0"/>
              <w:rPr>
                <w:sz w:val="1"/>
                <w:szCs w:val="1"/>
                <w:color w:val="auto"/>
              </w:rPr>
            </w:pPr>
          </w:p>
        </w:tc>
      </w:tr>
      <w:tr>
        <w:trPr>
          <w:trHeight w:val="240"/>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89,057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46,881</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w:t>
            </w:r>
          </w:p>
        </w:tc>
        <w:tc>
          <w:tcPr>
            <w:tcW w:w="0" w:type="dxa"/>
            <w:vAlign w:val="bottom"/>
          </w:tcPr>
          <w:p>
            <w:pPr>
              <w:spacing w:after="0"/>
              <w:rPr>
                <w:sz w:val="1"/>
                <w:szCs w:val="1"/>
                <w:color w:val="auto"/>
              </w:rPr>
            </w:pPr>
          </w:p>
        </w:tc>
      </w:tr>
      <w:tr>
        <w:trPr>
          <w:trHeight w:val="233"/>
        </w:trPr>
        <w:tc>
          <w:tcPr>
            <w:tcW w:w="6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271,741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225,426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219,693</w:t>
            </w:r>
          </w:p>
        </w:tc>
        <w:tc>
          <w:tcPr>
            <w:tcW w:w="0" w:type="dxa"/>
            <w:vAlign w:val="bottom"/>
          </w:tcPr>
          <w:p>
            <w:pPr>
              <w:spacing w:after="0"/>
              <w:rPr>
                <w:sz w:val="1"/>
                <w:szCs w:val="1"/>
                <w:color w:val="auto"/>
              </w:rPr>
            </w:pPr>
          </w:p>
        </w:tc>
      </w:tr>
      <w:tr>
        <w:trPr>
          <w:trHeight w:val="25"/>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(214,776)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(211,937)</w:t>
            </w:r>
          </w:p>
        </w:tc>
        <w:tc>
          <w:tcPr>
            <w:tcW w:w="0" w:type="dxa"/>
            <w:vAlign w:val="bottom"/>
          </w:tcPr>
          <w:p>
            <w:pPr>
              <w:spacing w:after="0"/>
              <w:rPr>
                <w:sz w:val="1"/>
                <w:szCs w:val="1"/>
                <w:color w:val="auto"/>
              </w:rPr>
            </w:pPr>
          </w:p>
        </w:tc>
      </w:tr>
      <w:tr>
        <w:trPr>
          <w:trHeight w:val="239"/>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income, net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0" w:type="dxa"/>
            <w:vAlign w:val="bottom"/>
          </w:tcPr>
          <w:p>
            <w:pPr>
              <w:spacing w:after="0"/>
              <w:rPr>
                <w:sz w:val="1"/>
                <w:szCs w:val="1"/>
                <w:color w:val="auto"/>
              </w:rPr>
            </w:pPr>
          </w:p>
        </w:tc>
      </w:tr>
      <w:tr>
        <w:trPr>
          <w:trHeight w:val="26"/>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0" w:type="dxa"/>
            <w:vAlign w:val="bottom"/>
          </w:tcPr>
          <w:p>
            <w:pPr>
              <w:spacing w:after="0"/>
              <w:rPr>
                <w:sz w:val="1"/>
                <w:szCs w:val="1"/>
                <w:color w:val="auto"/>
              </w:rPr>
            </w:pPr>
          </w:p>
        </w:tc>
      </w:tr>
      <w:tr>
        <w:trPr>
          <w:trHeight w:val="239"/>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Impairment of other investments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6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other income (loss), net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0" w:type="dxa"/>
            <w:vAlign w:val="bottom"/>
          </w:tcPr>
          <w:p>
            <w:pPr>
              <w:spacing w:after="0"/>
              <w:rPr>
                <w:sz w:val="1"/>
                <w:szCs w:val="1"/>
                <w:color w:val="auto"/>
              </w:rPr>
            </w:pPr>
          </w:p>
        </w:tc>
      </w:tr>
      <w:tr>
        <w:trPr>
          <w:trHeight w:val="23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(183,118)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(250,219)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(204,472)</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unrealized loss on marketable securities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5"/>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(189,094)</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(252,098)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(204,670)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attributed to common stockholders: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6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(183,118)</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(204,472)</w:t>
            </w:r>
          </w:p>
        </w:tc>
        <w:tc>
          <w:tcPr>
            <w:tcW w:w="0" w:type="dxa"/>
            <w:vAlign w:val="bottom"/>
          </w:tcPr>
          <w:p>
            <w:pPr>
              <w:spacing w:after="0"/>
              <w:rPr>
                <w:sz w:val="1"/>
                <w:szCs w:val="1"/>
                <w:color w:val="auto"/>
              </w:rPr>
            </w:pPr>
          </w:p>
        </w:tc>
      </w:tr>
      <w:tr>
        <w:trPr>
          <w:trHeight w:val="240"/>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Deemed dividends upon repurchase of convertible preferred stock</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0" w:type="dxa"/>
            <w:vAlign w:val="bottom"/>
          </w:tcPr>
          <w:p>
            <w:pPr>
              <w:spacing w:after="0"/>
              <w:rPr>
                <w:sz w:val="1"/>
                <w:szCs w:val="1"/>
                <w:color w:val="auto"/>
              </w:rPr>
            </w:pPr>
          </w:p>
        </w:tc>
      </w:tr>
      <w:tr>
        <w:trPr>
          <w:trHeight w:val="25"/>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attributed to common stockholders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(183,118)</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(250,219)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(208,054)</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net loss per common share, basic and diluted</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247,080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135,918</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13,258</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Includes related-party revenue of $84,653, $10,509 and $7,756 for the years ended December 31, 2022, 2021 and 2020, respectively.</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Lyell Immunopharma, Inc.</w:t>
      </w:r>
    </w:p>
    <w:p>
      <w:pPr>
        <w:jc w:val="center"/>
        <w:ind w:right="-19"/>
        <w:spacing w:after="0" w:line="227" w:lineRule="auto"/>
        <w:rPr>
          <w:sz w:val="20"/>
          <w:szCs w:val="20"/>
          <w:color w:val="auto"/>
        </w:rPr>
      </w:pPr>
      <w:r>
        <w:rPr>
          <w:rFonts w:ascii="Times New Roman" w:cs="Times New Roman" w:eastAsia="Times New Roman" w:hAnsi="Times New Roman"/>
          <w:sz w:val="17"/>
          <w:szCs w:val="17"/>
          <w:b w:val="1"/>
          <w:bCs w:val="1"/>
          <w:color w:val="auto"/>
        </w:rPr>
        <w:t>Consolidated Statements of Convertible Preferred Stock and Stockholders’ Equity (Deficit)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ectPr>
          <w:pgSz w:w="11900" w:h="16838" w:orient="portrait"/>
          <w:cols w:equalWidth="0" w:num="1">
            <w:col w:w="11240"/>
          </w:cols>
          <w:pgMar w:left="320" w:top="121" w:right="339" w:bottom="1440" w:gutter="0" w:footer="0" w:header="0"/>
        </w:sect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93"/>
        </w:trPr>
        <w:tc>
          <w:tcPr>
            <w:tcW w:w="3360" w:type="dxa"/>
            <w:vAlign w:val="bottom"/>
          </w:tcPr>
          <w:p>
            <w:pPr>
              <w:spacing w:after="0"/>
              <w:rPr>
                <w:sz w:val="24"/>
                <w:szCs w:val="24"/>
                <w:color w:val="auto"/>
              </w:rPr>
            </w:pPr>
          </w:p>
        </w:tc>
        <w:tc>
          <w:tcPr>
            <w:tcW w:w="1840" w:type="dxa"/>
            <w:vAlign w:val="bottom"/>
            <w:tcBorders>
              <w:right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360" w:type="dxa"/>
            <w:vAlign w:val="bottom"/>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360" w:type="dxa"/>
            <w:vAlign w:val="bottom"/>
          </w:tcPr>
          <w:p>
            <w:pPr>
              <w:spacing w:after="0"/>
              <w:rPr>
                <w:sz w:val="15"/>
                <w:szCs w:val="15"/>
                <w:color w:val="auto"/>
              </w:rPr>
            </w:pP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8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as of December 31, 2019</w:t>
            </w: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360" w:type="dxa"/>
            <w:vAlign w:val="bottom"/>
            <w:vMerge w:val="continue"/>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152,116</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519,163</w:t>
            </w:r>
          </w:p>
        </w:tc>
        <w:tc>
          <w:tcPr>
            <w:tcW w:w="1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Issuance of Series C convertible preferred stock, net of</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$533 in issuance costs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42,905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492,467</w:t>
            </w:r>
          </w:p>
        </w:tc>
        <w:tc>
          <w:tcPr>
            <w:tcW w:w="1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to strategic partners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for asset acquisition</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 convertible preferred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as of December 31, 2020</w:t>
            </w: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360" w:type="dxa"/>
            <w:vAlign w:val="bottom"/>
            <w:vMerge w:val="continue"/>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194,474</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1,010,968</w:t>
            </w:r>
          </w:p>
        </w:tc>
        <w:tc>
          <w:tcPr>
            <w:tcW w:w="1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initial public offering, net of $33,198 in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issuance costs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Conversion of convertible preferred stock to common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(194,474)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(1,010,968)</w:t>
            </w:r>
          </w:p>
        </w:tc>
        <w:tc>
          <w:tcPr>
            <w:tcW w:w="1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as of December 31, 2021</w:t>
            </w: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360" w:type="dxa"/>
            <w:vAlign w:val="bottom"/>
            <w:vMerge w:val="continue"/>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under employee stock purchase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plan</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in connection with restricted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 units, net of tax</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25"/>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336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72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4"/>
                <w:szCs w:val="14"/>
                <w:color w:val="auto"/>
              </w:rPr>
            </w:pPr>
          </w:p>
        </w:tc>
        <w:tc>
          <w:tcPr>
            <w:tcW w:w="78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6"/>
        </w:trPr>
        <w:tc>
          <w:tcPr>
            <w:tcW w:w="172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restart"/>
          </w:tcPr>
          <w:p>
            <w:pPr>
              <w:jc w:val="center"/>
              <w:ind w:right="180"/>
              <w:spacing w:after="0" w:line="124"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3"/>
            <w:vMerge w:val="restart"/>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3"/>
            <w:vMerge w:val="continue"/>
          </w:tcPr>
          <w:p>
            <w:pPr>
              <w:spacing w:after="0"/>
              <w:rPr>
                <w:sz w:val="9"/>
                <w:szCs w:val="9"/>
                <w:color w:val="auto"/>
              </w:rPr>
            </w:pPr>
          </w:p>
        </w:tc>
        <w:tc>
          <w:tcPr>
            <w:tcW w:w="1000" w:type="dxa"/>
            <w:vAlign w:val="bottom"/>
            <w:gridSpan w:val="2"/>
            <w:vMerge w:val="restart"/>
          </w:tcPr>
          <w:p>
            <w:pPr>
              <w:jc w:val="right"/>
              <w:ind w:right="9"/>
              <w:spacing w:after="0" w:line="124"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8"/>
        </w:trPr>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8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(Deficit) Equity</w:t>
            </w:r>
          </w:p>
        </w:tc>
        <w:tc>
          <w:tcPr>
            <w:tcW w:w="0" w:type="dxa"/>
            <w:vAlign w:val="bottom"/>
          </w:tcPr>
          <w:p>
            <w:pPr>
              <w:spacing w:after="0"/>
              <w:rPr>
                <w:sz w:val="1"/>
                <w:szCs w:val="1"/>
                <w:color w:val="auto"/>
              </w:rPr>
            </w:pPr>
          </w:p>
        </w:tc>
      </w:tr>
      <w:tr>
        <w:trPr>
          <w:trHeight w:val="24"/>
        </w:trPr>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11,181</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18,108</w:t>
            </w:r>
          </w:p>
        </w:tc>
        <w:tc>
          <w:tcPr>
            <w:tcW w:w="8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(129,671)</w:t>
            </w:r>
          </w:p>
        </w:tc>
        <w:tc>
          <w:tcPr>
            <w:tcW w:w="8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(111,108)</w:t>
            </w:r>
          </w:p>
        </w:tc>
        <w:tc>
          <w:tcPr>
            <w:tcW w:w="0" w:type="dxa"/>
            <w:vAlign w:val="bottom"/>
          </w:tcPr>
          <w:p>
            <w:pPr>
              <w:spacing w:after="0"/>
              <w:rPr>
                <w:sz w:val="1"/>
                <w:szCs w:val="1"/>
                <w:color w:val="auto"/>
              </w:rPr>
            </w:pPr>
          </w:p>
        </w:tc>
      </w:tr>
      <w:tr>
        <w:trPr>
          <w:trHeight w:val="398"/>
        </w:trPr>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0" w:type="dxa"/>
            <w:vAlign w:val="bottom"/>
          </w:tcPr>
          <w:p>
            <w:pPr>
              <w:spacing w:after="0"/>
              <w:rPr>
                <w:sz w:val="1"/>
                <w:szCs w:val="1"/>
                <w:color w:val="auto"/>
              </w:rPr>
            </w:pPr>
          </w:p>
        </w:tc>
      </w:tr>
      <w:tr>
        <w:trPr>
          <w:trHeight w:val="225"/>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0" w:type="dxa"/>
            <w:vAlign w:val="bottom"/>
          </w:tcPr>
          <w:p>
            <w:pPr>
              <w:spacing w:after="0"/>
              <w:rPr>
                <w:sz w:val="1"/>
                <w:szCs w:val="1"/>
                <w:color w:val="auto"/>
              </w:rPr>
            </w:pPr>
          </w:p>
        </w:tc>
      </w:tr>
      <w:tr>
        <w:trPr>
          <w:trHeight w:val="225"/>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225"/>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33,260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33,261</w:t>
            </w:r>
          </w:p>
        </w:tc>
        <w:tc>
          <w:tcPr>
            <w:tcW w:w="0" w:type="dxa"/>
            <w:vAlign w:val="bottom"/>
          </w:tcPr>
          <w:p>
            <w:pPr>
              <w:spacing w:after="0"/>
              <w:rPr>
                <w:sz w:val="1"/>
                <w:szCs w:val="1"/>
                <w:color w:val="auto"/>
              </w:rPr>
            </w:pPr>
          </w:p>
        </w:tc>
      </w:tr>
      <w:tr>
        <w:trPr>
          <w:trHeight w:val="225"/>
        </w:trPr>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(3,582)</w:t>
            </w:r>
          </w:p>
        </w:tc>
        <w:tc>
          <w:tcPr>
            <w:tcW w:w="0" w:type="dxa"/>
            <w:vAlign w:val="bottom"/>
          </w:tcPr>
          <w:p>
            <w:pPr>
              <w:spacing w:after="0"/>
              <w:rPr>
                <w:sz w:val="1"/>
                <w:szCs w:val="1"/>
                <w:color w:val="auto"/>
              </w:rPr>
            </w:pPr>
          </w:p>
        </w:tc>
      </w:tr>
      <w:tr>
        <w:trPr>
          <w:trHeight w:val="225"/>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(11,806)</w:t>
            </w:r>
          </w:p>
        </w:tc>
        <w:tc>
          <w:tcPr>
            <w:tcW w:w="0" w:type="dxa"/>
            <w:vAlign w:val="bottom"/>
          </w:tcPr>
          <w:p>
            <w:pPr>
              <w:spacing w:after="0"/>
              <w:rPr>
                <w:sz w:val="1"/>
                <w:szCs w:val="1"/>
                <w:color w:val="auto"/>
              </w:rPr>
            </w:pPr>
          </w:p>
        </w:tc>
      </w:tr>
      <w:tr>
        <w:trPr>
          <w:trHeight w:val="225"/>
        </w:trPr>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225"/>
        </w:trPr>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(204,472)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(204,472)</w:t>
            </w:r>
          </w:p>
        </w:tc>
        <w:tc>
          <w:tcPr>
            <w:tcW w:w="0" w:type="dxa"/>
            <w:vAlign w:val="bottom"/>
          </w:tcPr>
          <w:p>
            <w:pPr>
              <w:spacing w:after="0"/>
              <w:rPr>
                <w:sz w:val="1"/>
                <w:szCs w:val="1"/>
                <w:color w:val="auto"/>
              </w:rPr>
            </w:pPr>
          </w:p>
        </w:tc>
      </w:tr>
      <w:tr>
        <w:trPr>
          <w:trHeight w:val="38"/>
        </w:trPr>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15,570</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41,357</w:t>
            </w:r>
          </w:p>
        </w:tc>
        <w:tc>
          <w:tcPr>
            <w:tcW w:w="8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(334,143)</w:t>
            </w:r>
          </w:p>
        </w:tc>
        <w:tc>
          <w:tcPr>
            <w:tcW w:w="8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(292,528)</w:t>
            </w:r>
          </w:p>
        </w:tc>
        <w:tc>
          <w:tcPr>
            <w:tcW w:w="0" w:type="dxa"/>
            <w:vAlign w:val="bottom"/>
          </w:tcPr>
          <w:p>
            <w:pPr>
              <w:spacing w:after="0"/>
              <w:rPr>
                <w:sz w:val="1"/>
                <w:szCs w:val="1"/>
                <w:color w:val="auto"/>
              </w:rPr>
            </w:pPr>
          </w:p>
        </w:tc>
      </w:tr>
      <w:tr>
        <w:trPr>
          <w:trHeight w:val="398"/>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391,800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391,802</w:t>
            </w:r>
          </w:p>
        </w:tc>
        <w:tc>
          <w:tcPr>
            <w:tcW w:w="0" w:type="dxa"/>
            <w:vAlign w:val="bottom"/>
          </w:tcPr>
          <w:p>
            <w:pPr>
              <w:spacing w:after="0"/>
              <w:rPr>
                <w:sz w:val="1"/>
                <w:szCs w:val="1"/>
                <w:color w:val="auto"/>
              </w:rPr>
            </w:pPr>
          </w:p>
        </w:tc>
      </w:tr>
      <w:tr>
        <w:trPr>
          <w:trHeight w:val="398"/>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194,474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1,010,948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1,010,968</w:t>
            </w:r>
          </w:p>
        </w:tc>
        <w:tc>
          <w:tcPr>
            <w:tcW w:w="0" w:type="dxa"/>
            <w:vAlign w:val="bottom"/>
          </w:tcPr>
          <w:p>
            <w:pPr>
              <w:spacing w:after="0"/>
              <w:rPr>
                <w:sz w:val="1"/>
                <w:szCs w:val="1"/>
                <w:color w:val="auto"/>
              </w:rPr>
            </w:pPr>
          </w:p>
        </w:tc>
      </w:tr>
      <w:tr>
        <w:trPr>
          <w:trHeight w:val="225"/>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9,442</w:t>
            </w:r>
          </w:p>
        </w:tc>
        <w:tc>
          <w:tcPr>
            <w:tcW w:w="0" w:type="dxa"/>
            <w:vAlign w:val="bottom"/>
          </w:tcPr>
          <w:p>
            <w:pPr>
              <w:spacing w:after="0"/>
              <w:rPr>
                <w:sz w:val="1"/>
                <w:szCs w:val="1"/>
                <w:color w:val="auto"/>
              </w:rPr>
            </w:pPr>
          </w:p>
        </w:tc>
      </w:tr>
      <w:tr>
        <w:trPr>
          <w:trHeight w:val="225"/>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62,201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62,201</w:t>
            </w:r>
          </w:p>
        </w:tc>
        <w:tc>
          <w:tcPr>
            <w:tcW w:w="0" w:type="dxa"/>
            <w:vAlign w:val="bottom"/>
          </w:tcPr>
          <w:p>
            <w:pPr>
              <w:spacing w:after="0"/>
              <w:rPr>
                <w:sz w:val="1"/>
                <w:szCs w:val="1"/>
                <w:color w:val="auto"/>
              </w:rPr>
            </w:pPr>
          </w:p>
        </w:tc>
      </w:tr>
      <w:tr>
        <w:trPr>
          <w:trHeight w:val="225"/>
        </w:trPr>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0" w:type="dxa"/>
            <w:vAlign w:val="bottom"/>
          </w:tcPr>
          <w:p>
            <w:pPr>
              <w:spacing w:after="0"/>
              <w:rPr>
                <w:sz w:val="1"/>
                <w:szCs w:val="1"/>
                <w:color w:val="auto"/>
              </w:rPr>
            </w:pPr>
          </w:p>
        </w:tc>
      </w:tr>
      <w:tr>
        <w:trPr>
          <w:trHeight w:val="225"/>
        </w:trPr>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(250,219)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(250,219)</w:t>
            </w:r>
          </w:p>
        </w:tc>
        <w:tc>
          <w:tcPr>
            <w:tcW w:w="0" w:type="dxa"/>
            <w:vAlign w:val="bottom"/>
          </w:tcPr>
          <w:p>
            <w:pPr>
              <w:spacing w:after="0"/>
              <w:rPr>
                <w:sz w:val="1"/>
                <w:szCs w:val="1"/>
                <w:color w:val="auto"/>
              </w:rPr>
            </w:pPr>
          </w:p>
        </w:tc>
      </w:tr>
      <w:tr>
        <w:trPr>
          <w:trHeight w:val="37"/>
        </w:trPr>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242,738</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1,515,748</w:t>
            </w:r>
          </w:p>
        </w:tc>
        <w:tc>
          <w:tcPr>
            <w:tcW w:w="8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(584,362)</w:t>
            </w:r>
          </w:p>
        </w:tc>
        <w:tc>
          <w:tcPr>
            <w:tcW w:w="8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929,787</w:t>
            </w:r>
          </w:p>
        </w:tc>
        <w:tc>
          <w:tcPr>
            <w:tcW w:w="0" w:type="dxa"/>
            <w:vAlign w:val="bottom"/>
          </w:tcPr>
          <w:p>
            <w:pPr>
              <w:spacing w:after="0"/>
              <w:rPr>
                <w:sz w:val="1"/>
                <w:szCs w:val="1"/>
                <w:color w:val="auto"/>
              </w:rPr>
            </w:pPr>
          </w:p>
        </w:tc>
      </w:tr>
      <w:tr>
        <w:trPr>
          <w:trHeight w:val="225"/>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9,577</w:t>
            </w:r>
          </w:p>
        </w:tc>
        <w:tc>
          <w:tcPr>
            <w:tcW w:w="0" w:type="dxa"/>
            <w:vAlign w:val="bottom"/>
          </w:tcPr>
          <w:p>
            <w:pPr>
              <w:spacing w:after="0"/>
              <w:rPr>
                <w:sz w:val="1"/>
                <w:szCs w:val="1"/>
                <w:color w:val="auto"/>
              </w:rPr>
            </w:pPr>
          </w:p>
        </w:tc>
      </w:tr>
      <w:tr>
        <w:trPr>
          <w:trHeight w:val="398"/>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0" w:type="dxa"/>
            <w:vAlign w:val="bottom"/>
          </w:tcPr>
          <w:p>
            <w:pPr>
              <w:spacing w:after="0"/>
              <w:rPr>
                <w:sz w:val="1"/>
                <w:szCs w:val="1"/>
                <w:color w:val="auto"/>
              </w:rPr>
            </w:pPr>
          </w:p>
        </w:tc>
      </w:tr>
      <w:tr>
        <w:trPr>
          <w:trHeight w:val="398"/>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0" w:type="dxa"/>
            <w:vAlign w:val="bottom"/>
          </w:tcPr>
          <w:p>
            <w:pPr>
              <w:spacing w:after="0"/>
              <w:rPr>
                <w:sz w:val="1"/>
                <w:szCs w:val="1"/>
                <w:color w:val="auto"/>
              </w:rPr>
            </w:pPr>
          </w:p>
        </w:tc>
      </w:tr>
      <w:tr>
        <w:trPr>
          <w:trHeight w:val="225"/>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81,924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81,924</w:t>
            </w:r>
          </w:p>
        </w:tc>
        <w:tc>
          <w:tcPr>
            <w:tcW w:w="0" w:type="dxa"/>
            <w:vAlign w:val="bottom"/>
          </w:tcPr>
          <w:p>
            <w:pPr>
              <w:spacing w:after="0"/>
              <w:rPr>
                <w:sz w:val="1"/>
                <w:szCs w:val="1"/>
                <w:color w:val="auto"/>
              </w:rPr>
            </w:pPr>
          </w:p>
        </w:tc>
      </w:tr>
      <w:tr>
        <w:trPr>
          <w:trHeight w:val="225"/>
        </w:trPr>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(5,976)</w:t>
            </w:r>
          </w:p>
        </w:tc>
        <w:tc>
          <w:tcPr>
            <w:tcW w:w="0" w:type="dxa"/>
            <w:vAlign w:val="bottom"/>
          </w:tcPr>
          <w:p>
            <w:pPr>
              <w:spacing w:after="0"/>
              <w:rPr>
                <w:sz w:val="1"/>
                <w:szCs w:val="1"/>
                <w:color w:val="auto"/>
              </w:rPr>
            </w:pPr>
          </w:p>
        </w:tc>
      </w:tr>
      <w:tr>
        <w:trPr>
          <w:trHeight w:val="225"/>
        </w:trPr>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8"/>
              </w:rPr>
              <w:t>(183,118)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(183,118)</w:t>
            </w:r>
          </w:p>
        </w:tc>
        <w:tc>
          <w:tcPr>
            <w:tcW w:w="0" w:type="dxa"/>
            <w:vAlign w:val="bottom"/>
          </w:tcPr>
          <w:p>
            <w:pPr>
              <w:spacing w:after="0"/>
              <w:rPr>
                <w:sz w:val="1"/>
                <w:szCs w:val="1"/>
                <w:color w:val="auto"/>
              </w:rPr>
            </w:pPr>
          </w:p>
        </w:tc>
      </w:tr>
      <w:tr>
        <w:trPr>
          <w:trHeight w:val="38"/>
        </w:trPr>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249,567</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1,608,306</w:t>
            </w:r>
          </w:p>
        </w:tc>
        <w:tc>
          <w:tcPr>
            <w:tcW w:w="8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(7,599)</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(767,480)</w:t>
            </w:r>
          </w:p>
        </w:tc>
        <w:tc>
          <w:tcPr>
            <w:tcW w:w="8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833,252</w:t>
            </w:r>
          </w:p>
        </w:tc>
        <w:tc>
          <w:tcPr>
            <w:tcW w:w="0" w:type="dxa"/>
            <w:vAlign w:val="bottom"/>
          </w:tcPr>
          <w:p>
            <w:pPr>
              <w:spacing w:after="0"/>
              <w:rPr>
                <w:sz w:val="1"/>
                <w:szCs w:val="1"/>
                <w:color w:val="auto"/>
              </w:rPr>
            </w:pPr>
          </w:p>
        </w:tc>
      </w:tr>
      <w:tr>
        <w:trPr>
          <w:trHeight w:val="38"/>
        </w:trPr>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-3437255</wp:posOffset>
            </wp:positionH>
            <wp:positionV relativeFrom="paragraph">
              <wp:posOffset>-4189095</wp:posOffset>
            </wp:positionV>
            <wp:extent cx="7134860" cy="1511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-3437255</wp:posOffset>
            </wp:positionH>
            <wp:positionV relativeFrom="paragraph">
              <wp:posOffset>-3785235</wp:posOffset>
            </wp:positionV>
            <wp:extent cx="7134860" cy="142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-3437255</wp:posOffset>
            </wp:positionH>
            <wp:positionV relativeFrom="paragraph">
              <wp:posOffset>-3499485</wp:posOffset>
            </wp:positionV>
            <wp:extent cx="7134860" cy="142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-3437255</wp:posOffset>
            </wp:positionH>
            <wp:positionV relativeFrom="paragraph">
              <wp:posOffset>-3213100</wp:posOffset>
            </wp:positionV>
            <wp:extent cx="7134860" cy="142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-3437255</wp:posOffset>
            </wp:positionH>
            <wp:positionV relativeFrom="paragraph">
              <wp:posOffset>-2927350</wp:posOffset>
            </wp:positionV>
            <wp:extent cx="7134860" cy="142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-3437255</wp:posOffset>
            </wp:positionH>
            <wp:positionV relativeFrom="paragraph">
              <wp:posOffset>-2640965</wp:posOffset>
            </wp:positionV>
            <wp:extent cx="7134860" cy="1511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-3437255</wp:posOffset>
            </wp:positionH>
            <wp:positionV relativeFrom="paragraph">
              <wp:posOffset>-2237105</wp:posOffset>
            </wp:positionV>
            <wp:extent cx="7134860" cy="2527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4860" cy="252730"/>
                    </a:xfrm>
                    <a:prstGeom prst="rect">
                      <a:avLst/>
                    </a:prstGeom>
                    <a:noFill/>
                  </pic:spPr>
                </pic:pic>
              </a:graphicData>
            </a:graphic>
          </wp:anchor>
        </w:drawing>
        <w:drawing>
          <wp:anchor simplePos="0" relativeHeight="251657728" behindDoc="1" locked="0" layoutInCell="0" allowOverlap="1">
            <wp:simplePos x="0" y="0"/>
            <wp:positionH relativeFrom="column">
              <wp:posOffset>-3437255</wp:posOffset>
            </wp:positionH>
            <wp:positionV relativeFrom="paragraph">
              <wp:posOffset>-1842135</wp:posOffset>
            </wp:positionV>
            <wp:extent cx="7134860" cy="142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-3437255</wp:posOffset>
            </wp:positionH>
            <wp:positionV relativeFrom="paragraph">
              <wp:posOffset>-1555750</wp:posOffset>
            </wp:positionV>
            <wp:extent cx="7134860" cy="142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-3437255</wp:posOffset>
            </wp:positionH>
            <wp:positionV relativeFrom="paragraph">
              <wp:posOffset>-1261110</wp:posOffset>
            </wp:positionV>
            <wp:extent cx="7134860" cy="142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-3437255</wp:posOffset>
            </wp:positionH>
            <wp:positionV relativeFrom="paragraph">
              <wp:posOffset>-866140</wp:posOffset>
            </wp:positionV>
            <wp:extent cx="7134860" cy="2527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4860" cy="252730"/>
                    </a:xfrm>
                    <a:prstGeom prst="rect">
                      <a:avLst/>
                    </a:prstGeom>
                    <a:noFill/>
                  </pic:spPr>
                </pic:pic>
              </a:graphicData>
            </a:graphic>
          </wp:anchor>
        </w:drawing>
        <w:drawing>
          <wp:anchor simplePos="0" relativeHeight="251657728" behindDoc="1" locked="0" layoutInCell="0" allowOverlap="1">
            <wp:simplePos x="0" y="0"/>
            <wp:positionH relativeFrom="column">
              <wp:posOffset>-3437255</wp:posOffset>
            </wp:positionH>
            <wp:positionV relativeFrom="paragraph">
              <wp:posOffset>-470535</wp:posOffset>
            </wp:positionV>
            <wp:extent cx="7134860" cy="142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-3437255</wp:posOffset>
            </wp:positionH>
            <wp:positionV relativeFrom="paragraph">
              <wp:posOffset>-184150</wp:posOffset>
            </wp:positionV>
            <wp:extent cx="7134860" cy="1682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40"/>
            <w:col w:w="5820"/>
          </w:cols>
          <w:pgMar w:left="320" w:top="121" w:right="339" w:bottom="1440" w:gutter="0" w:footer="0" w:header="0"/>
          <w:type w:val="continuous"/>
        </w:sectPr>
      </w:pP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Lyell Immunopharma, Inc.</w:t>
      </w:r>
    </w:p>
    <w:p>
      <w:pPr>
        <w:jc w:val="center"/>
        <w:spacing w:after="0" w:line="230" w:lineRule="auto"/>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6"/>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Pr>
          <w:p>
            <w:pPr>
              <w:spacing w:after="0"/>
              <w:rPr>
                <w:sz w:val="16"/>
                <w:szCs w:val="16"/>
                <w:color w:val="auto"/>
              </w:rPr>
            </w:pPr>
          </w:p>
        </w:tc>
      </w:tr>
      <w:tr>
        <w:trPr>
          <w:trHeight w:val="38"/>
        </w:trPr>
        <w:tc>
          <w:tcPr>
            <w:tcW w:w="75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1"/>
        </w:trPr>
        <w:tc>
          <w:tcPr>
            <w:tcW w:w="7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38"/>
        </w:trPr>
        <w:tc>
          <w:tcPr>
            <w:tcW w:w="75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188"/>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(183,118)</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(250,219)</w:t>
            </w:r>
          </w:p>
        </w:tc>
        <w:tc>
          <w:tcPr>
            <w:tcW w:w="10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(204,472)</w:t>
            </w:r>
          </w:p>
        </w:tc>
      </w:tr>
      <w:tr>
        <w:trPr>
          <w:trHeight w:val="38"/>
        </w:trPr>
        <w:tc>
          <w:tcPr>
            <w:tcW w:w="7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0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r>
      <w:tr>
        <w:trPr>
          <w:trHeight w:val="188"/>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33,261</w:t>
            </w:r>
          </w:p>
        </w:tc>
      </w:tr>
      <w:tr>
        <w:trPr>
          <w:trHeight w:val="38"/>
        </w:trPr>
        <w:tc>
          <w:tcPr>
            <w:tcW w:w="7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05"/>
        </w:trPr>
        <w:tc>
          <w:tcPr>
            <w:tcW w:w="7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4,294</w:t>
            </w:r>
          </w:p>
        </w:tc>
      </w:tr>
      <w:tr>
        <w:trPr>
          <w:trHeight w:val="188"/>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Impairment of other investments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36,447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7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05"/>
        </w:trPr>
        <w:tc>
          <w:tcPr>
            <w:tcW w:w="7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value of success payment liabilities</w:t>
            </w: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5,337</w:t>
            </w:r>
          </w:p>
        </w:tc>
      </w:tr>
      <w:tr>
        <w:trPr>
          <w:trHeight w:val="188"/>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other investments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7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05"/>
        </w:trPr>
        <w:tc>
          <w:tcPr>
            <w:tcW w:w="7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Lease expense, net of gain on lease remeasurement</w:t>
            </w: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3,181</w:t>
            </w:r>
          </w:p>
        </w:tc>
      </w:tr>
      <w:tr>
        <w:trPr>
          <w:trHeight w:val="188"/>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fair value of equity warrant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w:t>
            </w:r>
          </w:p>
        </w:tc>
      </w:tr>
      <w:tr>
        <w:trPr>
          <w:trHeight w:val="38"/>
        </w:trPr>
        <w:tc>
          <w:tcPr>
            <w:tcW w:w="7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05"/>
        </w:trPr>
        <w:tc>
          <w:tcPr>
            <w:tcW w:w="7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amortization and accretion on marketable securities</w:t>
            </w: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r>
      <w:tr>
        <w:trPr>
          <w:trHeight w:val="188"/>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(gain) on property and equipment disposals, net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(4,884)</w:t>
            </w:r>
          </w:p>
        </w:tc>
      </w:tr>
      <w:tr>
        <w:trPr>
          <w:trHeight w:val="38"/>
        </w:trPr>
        <w:tc>
          <w:tcPr>
            <w:tcW w:w="7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05"/>
        </w:trPr>
        <w:tc>
          <w:tcPr>
            <w:tcW w:w="7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Expense in connection with asset acquisition</w:t>
            </w:r>
          </w:p>
        </w:tc>
        <w:tc>
          <w:tcPr>
            <w:tcW w:w="2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3,529</w:t>
            </w:r>
          </w:p>
        </w:tc>
      </w:tr>
      <w:tr>
        <w:trPr>
          <w:trHeight w:val="188"/>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net operating lease liability disposal</w:t>
            </w:r>
          </w:p>
        </w:tc>
        <w:tc>
          <w:tcPr>
            <w:tcW w:w="2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7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0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r>
      <w:tr>
        <w:trPr>
          <w:trHeight w:val="188"/>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expenses, other current assets and other assets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w:t>
            </w:r>
          </w:p>
        </w:tc>
      </w:tr>
      <w:tr>
        <w:trPr>
          <w:trHeight w:val="38"/>
        </w:trPr>
        <w:tc>
          <w:tcPr>
            <w:tcW w:w="7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05"/>
        </w:trPr>
        <w:tc>
          <w:tcPr>
            <w:tcW w:w="7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r>
      <w:tr>
        <w:trPr>
          <w:trHeight w:val="188"/>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liabilities and other current liabilities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6,120</w:t>
            </w:r>
          </w:p>
        </w:tc>
      </w:tr>
      <w:tr>
        <w:trPr>
          <w:trHeight w:val="38"/>
        </w:trPr>
        <w:tc>
          <w:tcPr>
            <w:tcW w:w="7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05"/>
        </w:trPr>
        <w:tc>
          <w:tcPr>
            <w:tcW w:w="7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(84,653)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(7,756)</w:t>
            </w:r>
          </w:p>
        </w:tc>
      </w:tr>
      <w:tr>
        <w:trPr>
          <w:trHeight w:val="188"/>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2,966</w:t>
            </w:r>
          </w:p>
        </w:tc>
      </w:tr>
      <w:tr>
        <w:trPr>
          <w:trHeight w:val="38"/>
        </w:trPr>
        <w:tc>
          <w:tcPr>
            <w:tcW w:w="7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25"/>
        </w:trPr>
        <w:tc>
          <w:tcPr>
            <w:tcW w:w="7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(169,555)</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(126,249)</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(160,874)</w:t>
            </w:r>
          </w:p>
        </w:tc>
      </w:tr>
      <w:tr>
        <w:trPr>
          <w:trHeight w:val="38"/>
        </w:trPr>
        <w:tc>
          <w:tcPr>
            <w:tcW w:w="75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188"/>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(24,276)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(65,504)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(51,481)</w:t>
            </w:r>
          </w:p>
        </w:tc>
      </w:tr>
      <w:tr>
        <w:trPr>
          <w:trHeight w:val="38"/>
        </w:trPr>
        <w:tc>
          <w:tcPr>
            <w:tcW w:w="7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0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(406,316)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(673,465)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(864,909)</w:t>
            </w:r>
          </w:p>
        </w:tc>
      </w:tr>
      <w:tr>
        <w:trPr>
          <w:trHeight w:val="188"/>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maturities of marketable securities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419,052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617,396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686,322</w:t>
            </w:r>
          </w:p>
        </w:tc>
      </w:tr>
      <w:tr>
        <w:trPr>
          <w:trHeight w:val="38"/>
        </w:trPr>
        <w:tc>
          <w:tcPr>
            <w:tcW w:w="7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2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other investments</w:t>
            </w: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(43,448)</w:t>
            </w:r>
          </w:p>
        </w:tc>
      </w:tr>
      <w:tr>
        <w:trPr>
          <w:trHeight w:val="181"/>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(11,540)</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(121,573)</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(273,516)</w:t>
            </w:r>
          </w:p>
        </w:tc>
      </w:tr>
      <w:tr>
        <w:trPr>
          <w:trHeight w:val="38"/>
        </w:trPr>
        <w:tc>
          <w:tcPr>
            <w:tcW w:w="75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188"/>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r>
      <w:tr>
        <w:trPr>
          <w:trHeight w:val="38"/>
        </w:trPr>
        <w:tc>
          <w:tcPr>
            <w:tcW w:w="7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0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7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0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initial public offering, net of issuance costs</w:t>
            </w:r>
          </w:p>
        </w:tc>
        <w:tc>
          <w:tcPr>
            <w:tcW w:w="2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391,802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convertible preferred stock, net of issuance costs</w:t>
            </w:r>
          </w:p>
        </w:tc>
        <w:tc>
          <w:tcPr>
            <w:tcW w:w="2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492,467</w:t>
            </w:r>
          </w:p>
        </w:tc>
      </w:tr>
      <w:tr>
        <w:trPr>
          <w:trHeight w:val="37"/>
        </w:trPr>
        <w:tc>
          <w:tcPr>
            <w:tcW w:w="7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0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for the repurchase of common stock</w:t>
            </w:r>
          </w:p>
        </w:tc>
        <w:tc>
          <w:tcPr>
            <w:tcW w:w="2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(11,806)</w:t>
            </w:r>
          </w:p>
        </w:tc>
      </w:tr>
      <w:tr>
        <w:trPr>
          <w:trHeight w:val="188"/>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for the repurchase of convertible preferred stock</w:t>
            </w:r>
          </w:p>
        </w:tc>
        <w:tc>
          <w:tcPr>
            <w:tcW w:w="2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(4,244)</w:t>
            </w:r>
          </w:p>
        </w:tc>
      </w:tr>
      <w:tr>
        <w:trPr>
          <w:trHeight w:val="38"/>
        </w:trPr>
        <w:tc>
          <w:tcPr>
            <w:tcW w:w="75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1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401,244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476,790</w:t>
            </w:r>
          </w:p>
        </w:tc>
      </w:tr>
      <w:tr>
        <w:trPr>
          <w:trHeight w:val="181"/>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(170,460)</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153,422</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42,400</w:t>
            </w:r>
          </w:p>
        </w:tc>
      </w:tr>
      <w:tr>
        <w:trPr>
          <w:trHeight w:val="38"/>
        </w:trPr>
        <w:tc>
          <w:tcPr>
            <w:tcW w:w="7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2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294,294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140,872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98,472</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123,834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294,294</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140,872</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7"/>
        </w:trPr>
        <w:tc>
          <w:tcPr>
            <w:tcW w:w="7520" w:type="dxa"/>
            <w:vAlign w:val="bottom"/>
            <w:tcBorders>
              <w:bottom w:val="single" w:sz="8" w:color="CCEEFF"/>
            </w:tcBorders>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Represented by:</w:t>
            </w:r>
          </w:p>
        </w:tc>
        <w:tc>
          <w:tcPr>
            <w:tcW w:w="2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r>
      <w:tr>
        <w:trPr>
          <w:trHeight w:val="188"/>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123,554</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293,828</w:t>
            </w:r>
          </w:p>
        </w:tc>
        <w:tc>
          <w:tcPr>
            <w:tcW w:w="10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140,406</w:t>
            </w:r>
          </w:p>
        </w:tc>
      </w:tr>
      <w:tr>
        <w:trPr>
          <w:trHeight w:val="38"/>
        </w:trPr>
        <w:tc>
          <w:tcPr>
            <w:tcW w:w="7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25"/>
        </w:trPr>
        <w:tc>
          <w:tcPr>
            <w:tcW w:w="7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r>
      <w:tr>
        <w:trPr>
          <w:trHeight w:val="213"/>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123,834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294,294</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140,872</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7"/>
        </w:trPr>
        <w:tc>
          <w:tcPr>
            <w:tcW w:w="7520" w:type="dxa"/>
            <w:vAlign w:val="bottom"/>
            <w:tcBorders>
              <w:bottom w:val="single" w:sz="8" w:color="CCEEFF"/>
            </w:tcBorders>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2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r>
      <w:tr>
        <w:trPr>
          <w:trHeight w:val="188"/>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received for amounts related to tenant improvement allowances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4,761</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13,295</w:t>
            </w:r>
          </w:p>
        </w:tc>
        <w:tc>
          <w:tcPr>
            <w:tcW w:w="10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2,966</w:t>
            </w:r>
          </w:p>
        </w:tc>
      </w:tr>
      <w:tr>
        <w:trPr>
          <w:trHeight w:val="38"/>
        </w:trPr>
        <w:tc>
          <w:tcPr>
            <w:tcW w:w="7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0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5,147</w:t>
            </w:r>
          </w:p>
        </w:tc>
      </w:tr>
      <w:tr>
        <w:trPr>
          <w:trHeight w:val="188"/>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
        </w:trPr>
        <w:tc>
          <w:tcPr>
            <w:tcW w:w="7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05"/>
        </w:trPr>
        <w:tc>
          <w:tcPr>
            <w:tcW w:w="7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property and equipment included in accounts payable and accrued liabilities</w:t>
            </w: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12,740</w:t>
            </w:r>
          </w:p>
        </w:tc>
      </w:tr>
      <w:tr>
        <w:trPr>
          <w:trHeight w:val="188"/>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Remeasurement of operating lease right-of-use asset for lease modification</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3,873</w:t>
            </w:r>
          </w:p>
        </w:tc>
        <w:tc>
          <w:tcPr>
            <w:tcW w:w="10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(8,958)</w:t>
            </w:r>
          </w:p>
        </w:tc>
      </w:tr>
      <w:tr>
        <w:trPr>
          <w:trHeight w:val="38"/>
        </w:trPr>
        <w:tc>
          <w:tcPr>
            <w:tcW w:w="7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05"/>
        </w:trPr>
        <w:tc>
          <w:tcPr>
            <w:tcW w:w="7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 of PACT Series D convertible preferred shares</w:t>
            </w: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Conversion of convertible preferred stock to common stock upon closing of initial public offering</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1,010,968</w:t>
            </w:r>
          </w:p>
        </w:tc>
        <w:tc>
          <w:tcPr>
            <w:tcW w:w="10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7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05"/>
        </w:trPr>
        <w:tc>
          <w:tcPr>
            <w:tcW w:w="7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right-of-use assets obtained in exchange for lease obligations</w:t>
            </w: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30,475</w:t>
            </w:r>
          </w:p>
        </w:tc>
      </w:tr>
      <w:tr>
        <w:trPr>
          <w:trHeight w:val="188"/>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investments received for sale of assets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r>
    </w:tbl>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21" w:right="339" w:bottom="708"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708"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Lyell Immunopharma,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13" w:lineRule="exact"/>
        <w:rPr>
          <w:sz w:val="20"/>
          <w:szCs w:val="20"/>
          <w:color w:val="auto"/>
        </w:rPr>
      </w:pPr>
    </w:p>
    <w:p>
      <w:pPr>
        <w:ind w:right="200" w:firstLine="636"/>
        <w:spacing w:after="0" w:line="215" w:lineRule="exact"/>
        <w:rPr>
          <w:sz w:val="20"/>
          <w:szCs w:val="20"/>
          <w:color w:val="auto"/>
        </w:rPr>
      </w:pPr>
      <w:r>
        <w:rPr>
          <w:rFonts w:ascii="Times New Roman" w:cs="Times New Roman" w:eastAsia="Times New Roman" w:hAnsi="Times New Roman"/>
          <w:sz w:val="18"/>
          <w:szCs w:val="18"/>
          <w:color w:val="auto"/>
        </w:rPr>
        <w:t xml:space="preserve">Lyell Immunopharma, Inc. (the “Company”) was incorporated in Delaware in June 2018. The Company is a clinical-stage cell therapy company advancing a pipeline of therapies for patients with solid tumors utilizing our proprietary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genetic and epigenetic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reprogramming technologies. The Company’s primary activities since incorporation have been to develop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therapies, perform research and development, enter into strategic collaboration and license arrangements, build manufacturing capabilities, enable manufacturing activities in support of its product candidate development efforts, acquire technology, organize and staff the Company, conduct business planning, establish its intellectual property portfolio, raise capital and provide general and administrative support for these activities.</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15" w:lineRule="exact"/>
        <w:rPr>
          <w:sz w:val="20"/>
          <w:szCs w:val="20"/>
          <w:color w:val="auto"/>
        </w:rPr>
      </w:pPr>
    </w:p>
    <w:p>
      <w:pPr>
        <w:ind w:firstLine="636"/>
        <w:spacing w:after="0" w:line="252" w:lineRule="auto"/>
        <w:rPr>
          <w:sz w:val="20"/>
          <w:szCs w:val="20"/>
          <w:color w:val="auto"/>
        </w:rPr>
      </w:pPr>
      <w:r>
        <w:rPr>
          <w:rFonts w:ascii="Times New Roman" w:cs="Times New Roman" w:eastAsia="Times New Roman" w:hAnsi="Times New Roman"/>
          <w:sz w:val="18"/>
          <w:szCs w:val="18"/>
          <w:color w:val="auto"/>
        </w:rPr>
        <w:t>In June 2021, the Company successfully completed its initial public offering (“IPO”) of its common stock. In connection with its IPO, the Company issued and sold 25,000,000 shares of common stock at an IPO price of $17.00 per share. The Company received $391.8 million in net proceeds, after deducting underwriting discounts and commissions of $29.8 million and offering expenses of $3.4 million. Upon the closing of the IPO, 194,474,431 shares of convertible preferred stock then outstanding converted into an equal number of shares of common stock. The related carrying value of the converted preferred stock of $1.0 billion was reclassified to common stock and additional paid in-capital.</w:t>
      </w:r>
    </w:p>
    <w:p>
      <w:pPr>
        <w:spacing w:after="0" w:line="289" w:lineRule="exact"/>
        <w:rPr>
          <w:sz w:val="20"/>
          <w:szCs w:val="20"/>
          <w:color w:val="auto"/>
        </w:rPr>
      </w:pPr>
    </w:p>
    <w:p>
      <w:pPr>
        <w:ind w:right="6780" w:firstLine="6"/>
        <w:spacing w:after="0" w:line="369" w:lineRule="auto"/>
        <w:tabs>
          <w:tab w:leader="none" w:pos="177"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Significant Accounting Policies Basis of Presentation</w:t>
      </w:r>
    </w:p>
    <w:p>
      <w:pPr>
        <w:spacing w:after="0" w:line="2" w:lineRule="exact"/>
        <w:rPr>
          <w:sz w:val="20"/>
          <w:szCs w:val="20"/>
          <w:color w:val="auto"/>
        </w:rPr>
      </w:pPr>
    </w:p>
    <w:p>
      <w:pPr>
        <w:ind w:right="80" w:firstLine="636"/>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(“GAAP”). The consolidated financial statements include the accounts of the Company and its wholly-owned subsidiary. All significant intercompany transactions and balances are eliminated in consolidation. Certain prior period amounts in the consolidated financial statements and accompanying notes have been reclassified to conform to the current period’s presentation.</w:t>
      </w:r>
    </w:p>
    <w:p>
      <w:pPr>
        <w:spacing w:after="0" w:line="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Liquidity and Management’s Plan</w:t>
      </w:r>
    </w:p>
    <w:p>
      <w:pPr>
        <w:spacing w:after="0" w:line="115"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7"/>
          <w:szCs w:val="17"/>
          <w:color w:val="auto"/>
        </w:rPr>
        <w:t>The Company is currently working on long-term product candidates that involve experimental technologies. The product candidates may require several years and substantial expenditures to complete and ultimately may be unsuccessful. The Company plans to finance operations with available cash resources or from the issuance of equity or debt securities. The Company believes that its available cash, cash equivalents and marketable securities as of December 31, 2022 will be adequate to fund its operations at least through the next 12 months from the date these consolidated financial statements are issued.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5" w:lineRule="exact"/>
        <w:rPr>
          <w:sz w:val="20"/>
          <w:szCs w:val="20"/>
          <w:color w:val="auto"/>
        </w:rPr>
      </w:pPr>
    </w:p>
    <w:p>
      <w:pPr>
        <w:ind w:right="160" w:firstLine="636"/>
        <w:spacing w:after="0" w:line="251"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judgments, estimates and assumptions that affect reported amounts and related disclosures. Specific accounts that require management estimates include, but are not limited to, stock-based compensation, valuation of success payments, valuation of other investments, revenue recognition and accrued expenses.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materially from those estimates.</w:t>
      </w:r>
    </w:p>
    <w:p>
      <w:pPr>
        <w:spacing w:after="0" w:line="79" w:lineRule="exact"/>
        <w:rPr>
          <w:sz w:val="20"/>
          <w:szCs w:val="20"/>
          <w:color w:val="auto"/>
        </w:rPr>
      </w:pPr>
    </w:p>
    <w:p>
      <w:pPr>
        <w:ind w:right="80" w:firstLine="636"/>
        <w:spacing w:after="0" w:line="251" w:lineRule="auto"/>
        <w:rPr>
          <w:sz w:val="20"/>
          <w:szCs w:val="20"/>
          <w:color w:val="auto"/>
        </w:rPr>
      </w:pPr>
      <w:r>
        <w:rPr>
          <w:rFonts w:ascii="Times New Roman" w:cs="Times New Roman" w:eastAsia="Times New Roman" w:hAnsi="Times New Roman"/>
          <w:sz w:val="18"/>
          <w:szCs w:val="18"/>
          <w:color w:val="auto"/>
        </w:rPr>
        <w:t>In June 2022, the Company recorded adjustments to revenue related to changes in estimates in connection with the Collaboration and License Agreement, entered into in 2019 and amended in June 2020 and December 2021 (“GSK Agreement”) with GlaxoSmithKline Intellectual Property (No. 5) Limited and Glaxo Group Limited (together, “GSK”). These changes in estimates were driven by the mutual agreement to conclude certain research activities in June 2022 and GSK’s termination of the GSK Agreement, effective December 24, 2022, both of which resulted in changes to the measure of proportional cumulative performance. These adjustments increased revenue by $83.6 million, decreased net loss by $83.6 million and resulted in a $0.34 reduction in the Company’s basic and diluted net loss per common share for the year ended December 31, 2022.</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Lyell Immunopharma,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15" w:lineRule="exact"/>
        <w:rPr>
          <w:sz w:val="20"/>
          <w:szCs w:val="20"/>
          <w:color w:val="auto"/>
        </w:rPr>
      </w:pPr>
    </w:p>
    <w:p>
      <w:pPr>
        <w:ind w:right="140" w:firstLine="636"/>
        <w:spacing w:after="0" w:line="274" w:lineRule="auto"/>
        <w:rPr>
          <w:sz w:val="20"/>
          <w:szCs w:val="20"/>
          <w:color w:val="auto"/>
        </w:rPr>
      </w:pPr>
      <w:r>
        <w:rPr>
          <w:rFonts w:ascii="Times New Roman" w:cs="Times New Roman" w:eastAsia="Times New Roman" w:hAnsi="Times New Roman"/>
          <w:sz w:val="18"/>
          <w:szCs w:val="18"/>
          <w:color w:val="auto"/>
        </w:rPr>
        <w:t>Comprehensive loss includes net loss and certain changes in stockholders’ equity that are excluded from net loss. For the years ended December 31, 2022, 2021 and 2020 this was comprised of net unrealized gains and losses on the Company’s marketable securities.</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15" w:lineRule="exact"/>
        <w:rPr>
          <w:sz w:val="20"/>
          <w:szCs w:val="20"/>
          <w:color w:val="auto"/>
        </w:rPr>
      </w:pPr>
    </w:p>
    <w:p>
      <w:pPr>
        <w:ind w:right="300" w:firstLine="636"/>
        <w:spacing w:after="0" w:line="274"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three months or less from the purchase date to be cash equivalents. Cash equivalents consist primarily of amounts invested in commercial paper and money market accounts.</w:t>
      </w:r>
    </w:p>
    <w:p>
      <w:pPr>
        <w:spacing w:after="0" w:line="57" w:lineRule="exact"/>
        <w:rPr>
          <w:sz w:val="20"/>
          <w:szCs w:val="20"/>
          <w:color w:val="auto"/>
        </w:rPr>
      </w:pPr>
    </w:p>
    <w:p>
      <w:pPr>
        <w:ind w:right="20" w:firstLine="636"/>
        <w:spacing w:after="0" w:line="274" w:lineRule="auto"/>
        <w:rPr>
          <w:sz w:val="20"/>
          <w:szCs w:val="20"/>
          <w:color w:val="auto"/>
        </w:rPr>
      </w:pPr>
      <w:r>
        <w:rPr>
          <w:rFonts w:ascii="Times New Roman" w:cs="Times New Roman" w:eastAsia="Times New Roman" w:hAnsi="Times New Roman"/>
          <w:sz w:val="18"/>
          <w:szCs w:val="18"/>
          <w:color w:val="auto"/>
        </w:rPr>
        <w:t>Restricted cash is cash held in bank accounts and is used as collateral for letters of credits issued in conjunction with the Company’s lease agreements and collateral associated with the Company’s corporate credit card program.</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15" w:lineRule="exact"/>
        <w:rPr>
          <w:sz w:val="20"/>
          <w:szCs w:val="20"/>
          <w:color w:val="auto"/>
        </w:rPr>
      </w:pPr>
    </w:p>
    <w:p>
      <w:pPr>
        <w:ind w:firstLine="636"/>
        <w:spacing w:after="0" w:line="252" w:lineRule="auto"/>
        <w:rPr>
          <w:sz w:val="20"/>
          <w:szCs w:val="20"/>
          <w:color w:val="auto"/>
        </w:rPr>
      </w:pPr>
      <w:r>
        <w:rPr>
          <w:rFonts w:ascii="Times New Roman" w:cs="Times New Roman" w:eastAsia="Times New Roman" w:hAnsi="Times New Roman"/>
          <w:sz w:val="18"/>
          <w:szCs w:val="18"/>
          <w:color w:val="auto"/>
        </w:rPr>
        <w:t>The Company generally invests its excess cash in investment grade short- to intermediate-term fixed income securities. Such investments are classified as available-for-sale and are carried at fair value, with the unrealized gains and losses reported as a component of comprehensive loss. Realized gains and losses on available-for-sale securities are included in other income (expense), net. The cost of investments sold is based on the specific-identification method. The Company classifies those investments that are not required for use in current operations and that mature in more than 12 months as non-current marketable securities in the accompanying consolidated balance sheets.</w:t>
      </w:r>
    </w:p>
    <w:p>
      <w:pPr>
        <w:spacing w:after="0" w:line="79" w:lineRule="exact"/>
        <w:rPr>
          <w:sz w:val="20"/>
          <w:szCs w:val="20"/>
          <w:color w:val="auto"/>
        </w:rPr>
      </w:pPr>
    </w:p>
    <w:p>
      <w:pPr>
        <w:ind w:right="300" w:firstLine="636"/>
        <w:spacing w:after="0" w:line="259" w:lineRule="auto"/>
        <w:rPr>
          <w:sz w:val="20"/>
          <w:szCs w:val="20"/>
          <w:color w:val="auto"/>
        </w:rPr>
      </w:pPr>
      <w:r>
        <w:rPr>
          <w:rFonts w:ascii="Times New Roman" w:cs="Times New Roman" w:eastAsia="Times New Roman" w:hAnsi="Times New Roman"/>
          <w:sz w:val="18"/>
          <w:szCs w:val="18"/>
          <w:color w:val="auto"/>
        </w:rPr>
        <w:t>Each reporting period, the Company evaluates whether declines in fair value below carrying value are due to expected credit losses, as well as the Company’s ability and intent to hold the investment until a forecasted recovery occurs. Expected credit losses are recorded as an allowance through other income (expense), net.</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Valuation of Other Investments</w:t>
      </w:r>
    </w:p>
    <w:p>
      <w:pPr>
        <w:spacing w:after="0" w:line="115" w:lineRule="exact"/>
        <w:rPr>
          <w:sz w:val="20"/>
          <w:szCs w:val="20"/>
          <w:color w:val="auto"/>
        </w:rPr>
      </w:pPr>
    </w:p>
    <w:p>
      <w:pPr>
        <w:ind w:right="240" w:firstLine="636"/>
        <w:spacing w:after="0" w:line="251" w:lineRule="auto"/>
        <w:rPr>
          <w:sz w:val="20"/>
          <w:szCs w:val="20"/>
          <w:color w:val="auto"/>
        </w:rPr>
      </w:pPr>
      <w:r>
        <w:rPr>
          <w:rFonts w:ascii="Times New Roman" w:cs="Times New Roman" w:eastAsia="Times New Roman" w:hAnsi="Times New Roman"/>
          <w:sz w:val="18"/>
          <w:szCs w:val="18"/>
          <w:color w:val="auto"/>
        </w:rPr>
        <w:t>The Company determines at the inception of each arrangement whether an investment or other interest is considered a variable interest entity (“VIE”). If the investment or other interest is determined to be a VIE, the Company evaluates whether it is considered the primary beneficiary. The primary beneficiary of a VIE is the party that meets both of the following criteria: (i) has the power to direct the activities that most significantly impact the VIE’s economic performance; and (ii) has the obligation to absorb losses or the right to receive benefits from the VIE. For any investments in VIEs in which the Company is considered the primary beneficiary, the assets, liabilities and results of operations of the VIE would be included in its consolidated financial statements. As of December 31, 2022 and 2021, there were no VIEs for which the Company was the primary beneficiary.</w:t>
      </w:r>
    </w:p>
    <w:p>
      <w:pPr>
        <w:spacing w:after="0" w:line="51" w:lineRule="exact"/>
        <w:rPr>
          <w:sz w:val="20"/>
          <w:szCs w:val="20"/>
          <w:color w:val="auto"/>
        </w:rPr>
      </w:pPr>
    </w:p>
    <w:p>
      <w:pPr>
        <w:ind w:right="100" w:firstLine="636"/>
        <w:spacing w:after="0" w:line="216" w:lineRule="exact"/>
        <w:rPr>
          <w:sz w:val="20"/>
          <w:szCs w:val="20"/>
          <w:color w:val="auto"/>
        </w:rPr>
      </w:pPr>
      <w:r>
        <w:rPr>
          <w:rFonts w:ascii="Times New Roman" w:cs="Times New Roman" w:eastAsia="Times New Roman" w:hAnsi="Times New Roman"/>
          <w:sz w:val="18"/>
          <w:szCs w:val="18"/>
          <w:color w:val="auto"/>
        </w:rPr>
        <w:t>The Company accounts for its strategic equity interests in common stock and in-substance common stock 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publicly traded companies for which it does not have the ability to exercise significant influence in accordance with Accounting Standards Codification (“ASC”) 321, </w:t>
      </w:r>
      <w:r>
        <w:rPr>
          <w:rFonts w:ascii="Times New Roman" w:cs="Times New Roman" w:eastAsia="Times New Roman" w:hAnsi="Times New Roman"/>
          <w:sz w:val="18"/>
          <w:szCs w:val="18"/>
          <w:i w:val="1"/>
          <w:iCs w:val="1"/>
          <w:color w:val="auto"/>
        </w:rPr>
        <w:t>Investments –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Securities </w:t>
      </w:r>
      <w:r>
        <w:rPr>
          <w:rFonts w:ascii="Times New Roman" w:cs="Times New Roman" w:eastAsia="Times New Roman" w:hAnsi="Times New Roman"/>
          <w:sz w:val="18"/>
          <w:szCs w:val="18"/>
          <w:color w:val="auto"/>
        </w:rPr>
        <w:t>(“ASC 321”). Upon acquisition, these investments are measured at cost, which represents the then fair value. Under ASC 321, the Company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elect to subsequently measure the investments at initial cost, minus impairment and any changes, plus or minus, resulting from observable price changes in orderly transactions for the identical or a similar investment of the same issuer (“measurement alternative”). This election must be made for each investment separately. The Company has made this election for all investments in this category and will continue to measure these investments using this method until they no longer qualify to be measured in accordance with this method. Changes in the carrying value of other investments are recognized through net loss. Each reporting period, the Company performs a qualitative assessment to evaluate whether the investment is impaired. The Company’s assessment includes a review of recent operating results and trends, recent sales/acquisitions of the investee securities and other factors that raise concerns about the investee’s ability to continue as a going concern. If the investment is impaired, an impairment charge is recognized in the amount by which the carrying amount of the investment exceeds the estimated fair value of the investment, with the impairment charge recognized through net loss. See Note 5, </w:t>
      </w:r>
      <w:r>
        <w:rPr>
          <w:rFonts w:ascii="Times New Roman" w:cs="Times New Roman" w:eastAsia="Times New Roman" w:hAnsi="Times New Roman"/>
          <w:sz w:val="18"/>
          <w:szCs w:val="18"/>
          <w:i w:val="1"/>
          <w:iCs w:val="1"/>
          <w:color w:val="auto"/>
        </w:rPr>
        <w:t>Other Investments</w:t>
      </w:r>
      <w:r>
        <w:rPr>
          <w:rFonts w:ascii="Times New Roman" w:cs="Times New Roman" w:eastAsia="Times New Roman" w:hAnsi="Times New Roman"/>
          <w:sz w:val="18"/>
          <w:szCs w:val="18"/>
          <w:color w:val="auto"/>
        </w:rPr>
        <w:t>, for details related to investment impairments recognized during the years ended December 31, 2022 and 2021.</w:t>
      </w:r>
    </w:p>
    <w:p>
      <w:pPr>
        <w:spacing w:after="0" w:line="63" w:lineRule="exact"/>
        <w:rPr>
          <w:sz w:val="20"/>
          <w:szCs w:val="20"/>
          <w:color w:val="auto"/>
        </w:rPr>
      </w:pPr>
    </w:p>
    <w:p>
      <w:pPr>
        <w:ind w:right="60" w:firstLine="636"/>
        <w:spacing w:after="0" w:line="228" w:lineRule="exact"/>
        <w:rPr>
          <w:sz w:val="20"/>
          <w:szCs w:val="20"/>
          <w:color w:val="auto"/>
        </w:rPr>
      </w:pPr>
      <w:r>
        <w:rPr>
          <w:rFonts w:ascii="Times New Roman" w:cs="Times New Roman" w:eastAsia="Times New Roman" w:hAnsi="Times New Roman"/>
          <w:sz w:val="17"/>
          <w:szCs w:val="17"/>
          <w:color w:val="auto"/>
        </w:rPr>
        <w:t>Additionally, the Company holds an equity warrant investment giving it the right to acquire stock of a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publicly traded company. Equity warrant investments are recorded within other assets at the estimated fair value, with gains and losses recognized in other income (expense), net. For the year ended December 31, 2022, in conjunction with the impairment of one of the Company’s other investments, the associated equity warrant investment’s fair value was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Lyell Immunopharma,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21"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8"/>
          <w:szCs w:val="18"/>
          <w:color w:val="auto"/>
        </w:rPr>
        <w:t xml:space="preserve">determined to be negligible. The Company reduced the equity warrant investment’s fair value to zero for the year ended December 31, 2022. See Note 6,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Measurements</w:t>
      </w:r>
      <w:r>
        <w:rPr>
          <w:rFonts w:ascii="Times New Roman" w:cs="Times New Roman" w:eastAsia="Times New Roman" w:hAnsi="Times New Roman"/>
          <w:sz w:val="18"/>
          <w:szCs w:val="18"/>
          <w:color w:val="auto"/>
        </w:rPr>
        <w:t>, for additional details regarding the equity warrant investment.</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15" w:lineRule="exact"/>
        <w:rPr>
          <w:sz w:val="20"/>
          <w:szCs w:val="20"/>
          <w:color w:val="auto"/>
        </w:rPr>
      </w:pPr>
    </w:p>
    <w:p>
      <w:pPr>
        <w:ind w:right="20" w:firstLine="636"/>
        <w:spacing w:after="0" w:line="215" w:lineRule="exact"/>
        <w:rPr>
          <w:sz w:val="20"/>
          <w:szCs w:val="20"/>
          <w:color w:val="auto"/>
        </w:rPr>
      </w:pPr>
      <w:r>
        <w:rPr>
          <w:rFonts w:ascii="Times New Roman" w:cs="Times New Roman" w:eastAsia="Times New Roman" w:hAnsi="Times New Roman"/>
          <w:sz w:val="18"/>
          <w:szCs w:val="18"/>
          <w:color w:val="auto"/>
        </w:rPr>
        <w:t>Property and equipment primarily consist of laboratory equipment, computer equipment and software, furniture and fixtures and leasehold improvements. Property and equipment are stated at cost less accumulated depreciation and amortization. Depreciation is calculated using the straight-line method based on the estimated useful lives of the related assets, which are generally three to five years. For leasehold improvements, amortization is calculated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based on the shorter of the useful life or the lease term. When assets are retired or otherwise disposed of, the cost and related accumulated depreciation and amortization are removed from the balance sheet and the resulting gain or loss is recorded in other income (expense), net in the period realized. Maintenance and repairs are expensed as incurred. The Company reviews its property and equipment for impairment whenever events or changes in circumstances indicate that the carrying amount of an asset may not be recoverable.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Valuation of Long-lived Assets</w:t>
      </w:r>
    </w:p>
    <w:p>
      <w:pPr>
        <w:spacing w:after="0" w:line="115" w:lineRule="exact"/>
        <w:rPr>
          <w:sz w:val="20"/>
          <w:szCs w:val="20"/>
          <w:color w:val="auto"/>
        </w:rPr>
      </w:pPr>
    </w:p>
    <w:p>
      <w:pPr>
        <w:ind w:right="100" w:firstLine="636"/>
        <w:spacing w:after="0" w:line="250" w:lineRule="auto"/>
        <w:rPr>
          <w:sz w:val="20"/>
          <w:szCs w:val="20"/>
          <w:color w:val="auto"/>
        </w:rPr>
      </w:pPr>
      <w:r>
        <w:rPr>
          <w:rFonts w:ascii="Times New Roman" w:cs="Times New Roman" w:eastAsia="Times New Roman" w:hAnsi="Times New Roman"/>
          <w:sz w:val="18"/>
          <w:szCs w:val="18"/>
          <w:color w:val="auto"/>
        </w:rPr>
        <w:t>Long-lived assets are reviewed each reporting period for impairment or whenever events or changes in circumstances indicate that the carrying amount of an asset may not be recoverable, which may warrant adjustments to carrying values or estimated useful lives. Recoverability is measured by comparison of the carrying amount of an asset group to the future net undiscounted cash flows that the assets are expected to generate. If the carrying amount of an asset group exceeds its estimated future cash flows, an impairment charge is recognized in the amount by which the carrying amount of the asset group exceeds the fair value of the asset group. If such assets are considered to be impaired, the impairment to be recognized is measured by the amount by which the carrying amount of the assets exceeds the projected discounted future net cash flows arising from the asset. There has been no impairment of long-lived assets for any of the periods presented.</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15" w:lineRule="exact"/>
        <w:rPr>
          <w:sz w:val="20"/>
          <w:szCs w:val="20"/>
          <w:color w:val="auto"/>
        </w:rPr>
      </w:pPr>
    </w:p>
    <w:p>
      <w:pPr>
        <w:ind w:right="20" w:firstLine="636"/>
        <w:spacing w:after="0" w:line="249" w:lineRule="auto"/>
        <w:rPr>
          <w:sz w:val="20"/>
          <w:szCs w:val="20"/>
          <w:color w:val="auto"/>
        </w:rPr>
      </w:pPr>
      <w:r>
        <w:rPr>
          <w:rFonts w:ascii="Times New Roman" w:cs="Times New Roman" w:eastAsia="Times New Roman" w:hAnsi="Times New Roman"/>
          <w:sz w:val="18"/>
          <w:szCs w:val="18"/>
          <w:color w:val="auto"/>
        </w:rPr>
        <w:t>The Company evaluates acquisitions of assets and other similar transactions to assess whether or not the transaction should be accounted for as a business combination or asset acquisition by first applying a screen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or not the Company has acquired inputs and processes that have the ability to create outputs which would meet the requirements of a business in which case the transaction is accounted for using the acquisition method of accounting, which requires, among other things, that assets acquired and liabilities assumed be recognized at their estimated fair values as of the acquisition date, and that the fair value of acquired intangibles be recorded on the balance sheet. Transaction costs are expensed as incurred. Any excess of the purchase price over the assigned fair values of the net assets acquired is recorded as goodwill. If the Company determines an acquisition does not meet the definition of a business combination under the acquisition method of accounting, the transaction is accounted for as an asset acquisition.</w:t>
      </w:r>
    </w:p>
    <w:p>
      <w:pPr>
        <w:spacing w:after="0" w:line="81" w:lineRule="exact"/>
        <w:rPr>
          <w:sz w:val="20"/>
          <w:szCs w:val="20"/>
          <w:color w:val="auto"/>
        </w:rPr>
      </w:pPr>
    </w:p>
    <w:p>
      <w:pPr>
        <w:ind w:right="100" w:firstLine="636"/>
        <w:spacing w:after="0" w:line="259" w:lineRule="auto"/>
        <w:rPr>
          <w:sz w:val="20"/>
          <w:szCs w:val="20"/>
          <w:color w:val="auto"/>
        </w:rPr>
      </w:pPr>
      <w:r>
        <w:rPr>
          <w:rFonts w:ascii="Times New Roman" w:cs="Times New Roman" w:eastAsia="Times New Roman" w:hAnsi="Times New Roman"/>
          <w:sz w:val="18"/>
          <w:szCs w:val="18"/>
          <w:color w:val="auto"/>
        </w:rPr>
        <w:t>In an asset acquisition, upfront payments allocated to in-process research and development (“IPR&amp;D”) are recorded in research and development expense if it is determined that there is no alternative future use, and subsequent milestone payments are recorded in research and development expense when achieved for technology that has not yet met product feasibility.</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5"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7"/>
          <w:szCs w:val="17"/>
          <w:color w:val="auto"/>
        </w:rPr>
        <w:t>The Company leases certain office, laboratory and manufacturing spaces. In addition to minimum rent, the leases require payment of real estate taxes, insurance, common area maintenance charges and other executory costs. At inception of a contract, the Company determines whether an arrangement is or contains a lease based on the unique facts and circumstances present in the arrangement. For all leases, the Company determines the classification of the lease as either operating or financing. As of December 31, 2022 and 2021, all of the Company’s leases were classified as operating leases.</w:t>
      </w:r>
    </w:p>
    <w:p>
      <w:pPr>
        <w:spacing w:after="0" w:line="61" w:lineRule="exact"/>
        <w:rPr>
          <w:sz w:val="20"/>
          <w:szCs w:val="20"/>
          <w:color w:val="auto"/>
        </w:rPr>
      </w:pPr>
    </w:p>
    <w:p>
      <w:pPr>
        <w:ind w:right="80" w:firstLine="636"/>
        <w:spacing w:after="0" w:line="255" w:lineRule="auto"/>
        <w:rPr>
          <w:sz w:val="20"/>
          <w:szCs w:val="20"/>
          <w:color w:val="auto"/>
        </w:rPr>
      </w:pPr>
      <w:r>
        <w:rPr>
          <w:rFonts w:ascii="Times New Roman" w:cs="Times New Roman" w:eastAsia="Times New Roman" w:hAnsi="Times New Roman"/>
          <w:sz w:val="18"/>
          <w:szCs w:val="18"/>
          <w:color w:val="auto"/>
        </w:rPr>
        <w:t>The Company recognizes right-of-use (“ROU”) assets and lease liabilities at the lease commencement date based on the present value of future lease payments over the lease term. As the Company’s leases do not provide an implicit rate, an incremental borrowing rate at each lease commencement date is used to determine the present value of future lease payments. The incremental borrowing rate is the rate of interest that the Company would pay to borrow equivalent funds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Lyell Immunopharma,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2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a collateralized basis at the lease commencement date. To estimate the incremental borrowing rate, a credit rating applicable to the Company is estimated using a synthetic credit rating analysis since the Company does not currently have a rating agency-based credit rating. The ROU asset includes any lease payments made prior to the lease commencement date and is reduced by any lease incentives received or deemed payable to the Company. The lease term may include options to extend or terminate the lease when it is reasonably certain that a lease option will be exercised. Lease expense is recognized on a straight-line basis over the lease term within operating expenses on the Consolidated Statements of Operations and Comprehensive Loss.</w:t>
      </w:r>
    </w:p>
    <w:p>
      <w:pPr>
        <w:spacing w:after="0" w:line="79" w:lineRule="exact"/>
        <w:rPr>
          <w:sz w:val="20"/>
          <w:szCs w:val="20"/>
          <w:color w:val="auto"/>
        </w:rPr>
      </w:pPr>
    </w:p>
    <w:p>
      <w:pPr>
        <w:ind w:right="260" w:firstLine="636"/>
        <w:spacing w:after="0" w:line="259" w:lineRule="auto"/>
        <w:rPr>
          <w:sz w:val="20"/>
          <w:szCs w:val="20"/>
          <w:color w:val="auto"/>
        </w:rPr>
      </w:pPr>
      <w:r>
        <w:rPr>
          <w:rFonts w:ascii="Times New Roman" w:cs="Times New Roman" w:eastAsia="Times New Roman" w:hAnsi="Times New Roman"/>
          <w:sz w:val="18"/>
          <w:szCs w:val="18"/>
          <w:color w:val="auto"/>
        </w:rPr>
        <w:t>The Company has elected the practical expedient to not separate lease and non-lease components for real estate leases. Additionally, the Company has elected the short-term lease recognition exemption for all short-term leases and as a result, lease liabilities and ROU assets are not included on the consolidated balance sheets for leases with an initial term of 12 months or less.</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5" w:lineRule="exact"/>
        <w:rPr>
          <w:sz w:val="20"/>
          <w:szCs w:val="20"/>
          <w:color w:val="auto"/>
        </w:rPr>
      </w:pPr>
    </w:p>
    <w:p>
      <w:pPr>
        <w:ind w:right="300" w:firstLine="636"/>
        <w:spacing w:after="0" w:line="255" w:lineRule="auto"/>
        <w:rPr>
          <w:sz w:val="20"/>
          <w:szCs w:val="20"/>
          <w:color w:val="auto"/>
        </w:rPr>
      </w:pPr>
      <w:r>
        <w:rPr>
          <w:rFonts w:ascii="Times New Roman" w:cs="Times New Roman" w:eastAsia="Times New Roman" w:hAnsi="Times New Roman"/>
          <w:sz w:val="18"/>
          <w:szCs w:val="18"/>
          <w:color w:val="auto"/>
        </w:rPr>
        <w:t>The Company is required to disclose information on all assets and liabilities reported at fair value that enables an assessment of the inputs used in determining the reported fair values. The fair value hierarchy prioritizes valuation inputs based on the observable nature of those inputs. The fair value hierarchy applies only to the valuation inputs used in determining the reported fair value of the investments and is not a measure of the investment credit quality. The hierarchy defines three levels of valuation inputs:</w:t>
      </w:r>
    </w:p>
    <w:p>
      <w:pPr>
        <w:spacing w:after="0" w:line="74" w:lineRule="exact"/>
        <w:rPr>
          <w:sz w:val="20"/>
          <w:szCs w:val="20"/>
          <w:color w:val="auto"/>
        </w:rPr>
      </w:pPr>
    </w:p>
    <w:p>
      <w:pPr>
        <w:ind w:left="640"/>
        <w:spacing w:after="0"/>
        <w:tabs>
          <w:tab w:leader="none" w:pos="1500" w:val="left"/>
        </w:tabs>
        <w:rPr>
          <w:sz w:val="20"/>
          <w:szCs w:val="20"/>
          <w:color w:val="auto"/>
        </w:rPr>
      </w:pPr>
      <w:r>
        <w:rPr>
          <w:rFonts w:ascii="Times New Roman" w:cs="Times New Roman" w:eastAsia="Times New Roman" w:hAnsi="Times New Roman"/>
          <w:sz w:val="18"/>
          <w:szCs w:val="18"/>
          <w:color w:val="auto"/>
        </w:rPr>
        <w:t>Level 1 –</w:t>
      </w:r>
      <w:r>
        <w:rPr>
          <w:sz w:val="20"/>
          <w:szCs w:val="20"/>
          <w:color w:val="auto"/>
        </w:rPr>
        <w:tab/>
      </w:r>
      <w:r>
        <w:rPr>
          <w:rFonts w:ascii="Times New Roman" w:cs="Times New Roman" w:eastAsia="Times New Roman" w:hAnsi="Times New Roman"/>
          <w:sz w:val="17"/>
          <w:szCs w:val="17"/>
          <w:color w:val="auto"/>
        </w:rPr>
        <w:t>Quoted prices in active markets for identical assets or liabilities.</w:t>
      </w:r>
    </w:p>
    <w:p>
      <w:pPr>
        <w:spacing w:after="0" w:line="111" w:lineRule="exact"/>
        <w:rPr>
          <w:sz w:val="20"/>
          <w:szCs w:val="20"/>
          <w:color w:val="auto"/>
        </w:rPr>
      </w:pPr>
    </w:p>
    <w:p>
      <w:pPr>
        <w:ind w:left="640"/>
        <w:spacing w:after="0"/>
        <w:tabs>
          <w:tab w:leader="none" w:pos="1500" w:val="left"/>
        </w:tabs>
        <w:rPr>
          <w:sz w:val="20"/>
          <w:szCs w:val="20"/>
          <w:color w:val="auto"/>
        </w:rPr>
      </w:pPr>
      <w:r>
        <w:rPr>
          <w:rFonts w:ascii="Times New Roman" w:cs="Times New Roman" w:eastAsia="Times New Roman" w:hAnsi="Times New Roman"/>
          <w:sz w:val="18"/>
          <w:szCs w:val="18"/>
          <w:color w:val="auto"/>
        </w:rPr>
        <w:t>Level 2 –</w:t>
      </w:r>
      <w:r>
        <w:rPr>
          <w:sz w:val="20"/>
          <w:szCs w:val="20"/>
          <w:color w:val="auto"/>
        </w:rPr>
        <w:tab/>
      </w:r>
      <w:r>
        <w:rPr>
          <w:rFonts w:ascii="Times New Roman" w:cs="Times New Roman" w:eastAsia="Times New Roman" w:hAnsi="Times New Roman"/>
          <w:sz w:val="17"/>
          <w:szCs w:val="17"/>
          <w:color w:val="auto"/>
        </w:rPr>
        <w:t>Inputs other than quoted prices included within Level 1 that are observable for the asset or liability, either directly or indirectly.</w:t>
      </w:r>
    </w:p>
    <w:p>
      <w:pPr>
        <w:spacing w:after="0" w:line="111" w:lineRule="exact"/>
        <w:rPr>
          <w:sz w:val="20"/>
          <w:szCs w:val="20"/>
          <w:color w:val="auto"/>
        </w:rPr>
      </w:pPr>
    </w:p>
    <w:p>
      <w:pPr>
        <w:ind w:left="1520" w:right="300" w:hanging="1017"/>
        <w:spacing w:after="0" w:line="274" w:lineRule="auto"/>
        <w:tabs>
          <w:tab w:leader="none" w:pos="1500" w:val="left"/>
        </w:tabs>
        <w:rPr>
          <w:sz w:val="20"/>
          <w:szCs w:val="20"/>
          <w:color w:val="auto"/>
        </w:rPr>
      </w:pPr>
      <w:r>
        <w:rPr>
          <w:rFonts w:ascii="Times New Roman" w:cs="Times New Roman" w:eastAsia="Times New Roman" w:hAnsi="Times New Roman"/>
          <w:sz w:val="18"/>
          <w:szCs w:val="18"/>
          <w:color w:val="auto"/>
        </w:rPr>
        <w:t>Level 3 –</w:t>
        <w:tab/>
        <w:t>Unobservable inputs that reflect the Company’s own assumptions about the assumptions market participants would use in pricing the asset or liability.</w:t>
      </w:r>
    </w:p>
    <w:p>
      <w:pPr>
        <w:spacing w:after="0" w:line="55" w:lineRule="exact"/>
        <w:rPr>
          <w:sz w:val="20"/>
          <w:szCs w:val="20"/>
          <w:color w:val="auto"/>
        </w:rPr>
      </w:pPr>
    </w:p>
    <w:p>
      <w:pPr>
        <w:ind w:firstLine="636"/>
        <w:spacing w:after="0" w:line="253" w:lineRule="auto"/>
        <w:rPr>
          <w:sz w:val="20"/>
          <w:szCs w:val="20"/>
          <w:color w:val="auto"/>
        </w:rPr>
      </w:pPr>
      <w:r>
        <w:rPr>
          <w:rFonts w:ascii="Times New Roman" w:cs="Times New Roman" w:eastAsia="Times New Roman" w:hAnsi="Times New Roman"/>
          <w:sz w:val="18"/>
          <w:szCs w:val="18"/>
          <w:color w:val="auto"/>
        </w:rPr>
        <w:t xml:space="preserve">The Company’s financial instruments, in addition to those presented in Note 6,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include cash, restricted cash, other investments, accounts payable and accrued liabilities and other current liabilities. The carrying amount of cash, restricted cash, accounts payable and accrued liabilities and other current liabilities approximate fair value because of the short-term nature of these instruments. As described in Note 5, </w:t>
      </w:r>
      <w:r>
        <w:rPr>
          <w:rFonts w:ascii="Times New Roman" w:cs="Times New Roman" w:eastAsia="Times New Roman" w:hAnsi="Times New Roman"/>
          <w:sz w:val="18"/>
          <w:szCs w:val="18"/>
          <w:i w:val="1"/>
          <w:iCs w:val="1"/>
          <w:color w:val="auto"/>
        </w:rPr>
        <w:t>Other Investments</w:t>
      </w:r>
      <w:r>
        <w:rPr>
          <w:rFonts w:ascii="Times New Roman" w:cs="Times New Roman" w:eastAsia="Times New Roman" w:hAnsi="Times New Roman"/>
          <w:sz w:val="18"/>
          <w:szCs w:val="18"/>
          <w:color w:val="auto"/>
        </w:rPr>
        <w:t>, other investments are carried at cost, minus impairment and any changes, plus or minus, resulting from observable price changes in orderly transactions for the identical or a similar investment of the same issuer.</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Deemed Dividends Upon Repurchase of Convertible Preferred Stock</w:t>
      </w:r>
    </w:p>
    <w:p>
      <w:pPr>
        <w:spacing w:after="0" w:line="115" w:lineRule="exact"/>
        <w:rPr>
          <w:sz w:val="20"/>
          <w:szCs w:val="20"/>
          <w:color w:val="auto"/>
        </w:rPr>
      </w:pPr>
    </w:p>
    <w:p>
      <w:pPr>
        <w:ind w:right="140" w:firstLine="636"/>
        <w:spacing w:after="0" w:line="274" w:lineRule="auto"/>
        <w:rPr>
          <w:sz w:val="20"/>
          <w:szCs w:val="20"/>
          <w:color w:val="auto"/>
        </w:rPr>
      </w:pPr>
      <w:r>
        <w:rPr>
          <w:rFonts w:ascii="Times New Roman" w:cs="Times New Roman" w:eastAsia="Times New Roman" w:hAnsi="Times New Roman"/>
          <w:sz w:val="17"/>
          <w:szCs w:val="17"/>
          <w:color w:val="auto"/>
        </w:rPr>
        <w:t xml:space="preserve">In March 2020, 546,806 shares of the Company’s Series A convertible preferred stock were repurchased by the Company at the then estimated fair value of $7.76 per share, which was higher than the carrying value of those shares. See Note 10, </w:t>
      </w:r>
      <w:r>
        <w:rPr>
          <w:rFonts w:ascii="Times New Roman" w:cs="Times New Roman" w:eastAsia="Times New Roman" w:hAnsi="Times New Roman"/>
          <w:sz w:val="17"/>
          <w:szCs w:val="17"/>
          <w:i w:val="1"/>
          <w:iCs w:val="1"/>
          <w:color w:val="auto"/>
        </w:rPr>
        <w:t>Convertible Preferred Stock</w:t>
      </w:r>
      <w:r>
        <w:rPr>
          <w:rFonts w:ascii="Times New Roman" w:cs="Times New Roman" w:eastAsia="Times New Roman" w:hAnsi="Times New Roman"/>
          <w:sz w:val="17"/>
          <w:szCs w:val="17"/>
          <w:color w:val="auto"/>
        </w:rPr>
        <w:t>. As a result, the Company recorded deemed dividends of $3.6 million for the year ended December 31, 2020. The transaction decreased convertible preferred stock by $0.7 million and reduced additional paid-in capital by $3.6 million. The deemed dividends increased the net loss attributed to common stockholders by $3.6 million.</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5" w:lineRule="exact"/>
        <w:rPr>
          <w:sz w:val="20"/>
          <w:szCs w:val="20"/>
          <w:color w:val="auto"/>
        </w:rPr>
      </w:pPr>
    </w:p>
    <w:p>
      <w:pPr>
        <w:ind w:right="160" w:firstLine="636"/>
        <w:spacing w:after="0" w:line="268" w:lineRule="auto"/>
        <w:rPr>
          <w:sz w:val="20"/>
          <w:szCs w:val="20"/>
          <w:color w:val="auto"/>
        </w:rPr>
      </w:pPr>
      <w:r>
        <w:rPr>
          <w:rFonts w:ascii="Times New Roman" w:cs="Times New Roman" w:eastAsia="Times New Roman" w:hAnsi="Times New Roman"/>
          <w:sz w:val="17"/>
          <w:szCs w:val="17"/>
          <w:color w:val="auto"/>
        </w:rPr>
        <w:t xml:space="preserve">The Company recognizes revenue when its customer obtains control of promised goods or services, in an amount that reflects the consideration that the Company expects to receive in exchange for those goods or services. To determine revenue recognition for arrangements within the scope of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(“ASC 606”) the Company performs the following five steps: (i) identify the contract(s) with a customer;</w:t>
      </w:r>
    </w:p>
    <w:p>
      <w:pPr>
        <w:spacing w:after="0" w:line="1" w:lineRule="exact"/>
        <w:rPr>
          <w:sz w:val="20"/>
          <w:szCs w:val="20"/>
          <w:color w:val="auto"/>
        </w:rPr>
      </w:pPr>
    </w:p>
    <w:p>
      <w:pPr>
        <w:ind w:right="140" w:firstLine="6"/>
        <w:spacing w:after="0" w:line="251" w:lineRule="auto"/>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 (iii) determine the transaction price; (iv) allocate the transaction price to the performance obligations in the contract; and (v) recognize revenue when (or as) the performance obligation is satisfied.</w:t>
      </w:r>
    </w:p>
    <w:p>
      <w:pPr>
        <w:spacing w:after="0" w:line="78" w:lineRule="exact"/>
        <w:rPr>
          <w:sz w:val="20"/>
          <w:szCs w:val="20"/>
          <w:color w:val="auto"/>
        </w:rPr>
      </w:pPr>
    </w:p>
    <w:p>
      <w:pPr>
        <w:ind w:right="120" w:firstLine="636"/>
        <w:spacing w:after="0" w:line="251" w:lineRule="auto"/>
        <w:rPr>
          <w:sz w:val="20"/>
          <w:szCs w:val="20"/>
          <w:color w:val="auto"/>
        </w:rPr>
      </w:pPr>
      <w:r>
        <w:rPr>
          <w:rFonts w:ascii="Times New Roman" w:cs="Times New Roman" w:eastAsia="Times New Roman" w:hAnsi="Times New Roman"/>
          <w:sz w:val="18"/>
          <w:szCs w:val="18"/>
          <w:color w:val="auto"/>
        </w:rPr>
        <w:t>In applying the ASC 606 framework, the Company must apply judgment to determine the nature of the promises within a revenue contract and whether those promises represent distinct performance obligations. In determining the transaction price, the Company does not include amounts subject to uncertainties unless it is probable that there will be no significant reversal of cumulative revenue when the uncertainty is resolved. Milestone and other forms of variable consideration that the Company may earn are subject to significant uncertainties of research and development related achievements, which generally are deemed not probable until such milestones are actually achieved. For arrangements that include sales-based royalties, including milestone payments based on the level of sales, and the license is deemed to be the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Lyell Immunopharma,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2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predominant item to which the royalties relate, the Company recognizes revenue at the later of (i) when the related sales occur, or (ii) when the performance obligation to which some or all of the royalty has been allocated has been satisfied (or partially satisfied). Additionally, the Company develops assumptions that require judgment to determine the standalone selling price of each performance obligation identified in the contract. The Company then allocates the total transaction price to each performance obligation based on the estimated standalone selling prices of each performance obligation, for which it recognizes revenue as or when the performance obligations are satisfied. At the end of each subsequent reporting period, the Company re-evaluates the variable consideration and any related constraint and, if necessary, adjusts its estimate of the overall transaction price. Any such adjustments are recorded on a cumulative catch-up basis.</w:t>
      </w:r>
    </w:p>
    <w:p>
      <w:pPr>
        <w:spacing w:after="0" w:line="81" w:lineRule="exact"/>
        <w:rPr>
          <w:sz w:val="20"/>
          <w:szCs w:val="20"/>
          <w:color w:val="auto"/>
        </w:rPr>
      </w:pPr>
    </w:p>
    <w:p>
      <w:pPr>
        <w:ind w:right="280" w:firstLine="636"/>
        <w:spacing w:after="0" w:line="251" w:lineRule="auto"/>
        <w:rPr>
          <w:sz w:val="20"/>
          <w:szCs w:val="20"/>
          <w:color w:val="auto"/>
        </w:rPr>
      </w:pPr>
      <w:r>
        <w:rPr>
          <w:rFonts w:ascii="Times New Roman" w:cs="Times New Roman" w:eastAsia="Times New Roman" w:hAnsi="Times New Roman"/>
          <w:sz w:val="18"/>
          <w:szCs w:val="18"/>
          <w:color w:val="auto"/>
        </w:rPr>
        <w:t>Under the Company’s license agreements, the Company grants the license to a customer as it exists at the point of transfer and the nature of the license is a right to use the Company’s intellectual property as transferred. If the license to the Company’s intellectual property is determined to be distinct from the other performance obligations identified in the arrangement, the Company recognizes revenue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15" w:lineRule="exact"/>
        <w:rPr>
          <w:sz w:val="20"/>
          <w:szCs w:val="20"/>
          <w:color w:val="auto"/>
        </w:rPr>
      </w:pPr>
    </w:p>
    <w:p>
      <w:pPr>
        <w:ind w:right="120" w:firstLine="636"/>
        <w:spacing w:after="0" w:line="251" w:lineRule="auto"/>
        <w:rPr>
          <w:sz w:val="20"/>
          <w:szCs w:val="20"/>
          <w:color w:val="auto"/>
        </w:rPr>
      </w:pPr>
      <w:r>
        <w:rPr>
          <w:rFonts w:ascii="Times New Roman" w:cs="Times New Roman" w:eastAsia="Times New Roman" w:hAnsi="Times New Roman"/>
          <w:sz w:val="18"/>
          <w:szCs w:val="18"/>
          <w:color w:val="auto"/>
        </w:rPr>
        <w:t>The Company records expense for research and development costs as incurred. Research and development expenses consist of costs incurred by the Company for the discovery and development of its technology platforms and product candidates and includes costs incurred in connection with strategic collaborations, costs to license technology, personnel-related costs, including stock-based compensation expense, facility and technology related costs, research and laboratory expenses, as well as other expenses, which include consulting fees and other costs. Upfront payments and milestones paid to third parties in connection with technology platforms that have not reached technological feasibility and do not have an alternative future use are expensed as incurred.</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15" w:lineRule="exact"/>
        <w:rPr>
          <w:sz w:val="20"/>
          <w:szCs w:val="20"/>
          <w:color w:val="auto"/>
        </w:rPr>
      </w:pPr>
    </w:p>
    <w:p>
      <w:pPr>
        <w:ind w:firstLine="636"/>
        <w:spacing w:after="0" w:line="255" w:lineRule="auto"/>
        <w:rPr>
          <w:sz w:val="20"/>
          <w:szCs w:val="20"/>
          <w:color w:val="auto"/>
        </w:rPr>
      </w:pPr>
      <w:r>
        <w:rPr>
          <w:rFonts w:ascii="Times New Roman" w:cs="Times New Roman" w:eastAsia="Times New Roman" w:hAnsi="Times New Roman"/>
          <w:sz w:val="18"/>
          <w:szCs w:val="18"/>
          <w:color w:val="auto"/>
        </w:rPr>
        <w:t>General and administrative costs are expensed as incurred and include personnel-related expenses, including stock-based compensation expense for personnel in executive, legal, finance and other administrative functions, legal costs, transaction costs related to collaboration and licensing agreements, as well as fees paid for accounting and tax services, consulting fees and facilities costs not otherwise included in research and development expenses. Legal costs include those related to corporate, dispute and patent matters.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Success Payments</w:t>
      </w:r>
    </w:p>
    <w:p>
      <w:pPr>
        <w:spacing w:after="0" w:line="115" w:lineRule="exact"/>
        <w:rPr>
          <w:sz w:val="20"/>
          <w:szCs w:val="20"/>
          <w:color w:val="auto"/>
        </w:rPr>
      </w:pPr>
    </w:p>
    <w:p>
      <w:pPr>
        <w:ind w:right="60" w:firstLine="636"/>
        <w:spacing w:after="0" w:line="250" w:lineRule="auto"/>
        <w:rPr>
          <w:sz w:val="20"/>
          <w:szCs w:val="20"/>
          <w:color w:val="auto"/>
        </w:rPr>
      </w:pPr>
      <w:r>
        <w:rPr>
          <w:rFonts w:ascii="Times New Roman" w:cs="Times New Roman" w:eastAsia="Times New Roman" w:hAnsi="Times New Roman"/>
          <w:sz w:val="18"/>
          <w:szCs w:val="18"/>
          <w:color w:val="auto"/>
        </w:rPr>
        <w:t xml:space="preserve">The Company granted rights to success payments to Fred Hutchinson Cancer Center (“Fred Hutch”) and The Board of Trustees of the Leland Stanford Junior University (“Stanford”) pursuant to the terms of its research and collaboration agreements with each of those entities. Pursuant to the terms of these agreements, on each contractually prescribed measurement date, the Company may be required to make success payments based on increases in the estimated per share fair value of the Company’s common stock. See Note 3, </w:t>
      </w:r>
      <w:r>
        <w:rPr>
          <w:rFonts w:ascii="Times New Roman" w:cs="Times New Roman" w:eastAsia="Times New Roman" w:hAnsi="Times New Roman"/>
          <w:sz w:val="18"/>
          <w:szCs w:val="18"/>
          <w:i w:val="1"/>
          <w:iCs w:val="1"/>
          <w:color w:val="auto"/>
        </w:rPr>
        <w:t>License, Collaboration and Success Payment Agreements</w:t>
      </w:r>
      <w:r>
        <w:rPr>
          <w:rFonts w:ascii="Times New Roman" w:cs="Times New Roman" w:eastAsia="Times New Roman" w:hAnsi="Times New Roman"/>
          <w:sz w:val="18"/>
          <w:szCs w:val="18"/>
          <w:color w:val="auto"/>
        </w:rPr>
        <w:t xml:space="preserve">. The success payments are accounted for under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with the expense being recorded in research and development expenses. Once the service period is complete, the instrument is accounted for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and continues to be remeasured each reporting period with all changes in value recognized immediately in other income (expense), net.</w:t>
      </w:r>
    </w:p>
    <w:p>
      <w:pPr>
        <w:spacing w:after="0" w:line="81" w:lineRule="exact"/>
        <w:rPr>
          <w:sz w:val="20"/>
          <w:szCs w:val="20"/>
          <w:color w:val="auto"/>
        </w:rPr>
      </w:pPr>
    </w:p>
    <w:p>
      <w:pPr>
        <w:ind w:firstLine="636"/>
        <w:spacing w:after="0" w:line="250" w:lineRule="auto"/>
        <w:rPr>
          <w:sz w:val="20"/>
          <w:szCs w:val="20"/>
          <w:color w:val="auto"/>
        </w:rPr>
      </w:pPr>
      <w:r>
        <w:rPr>
          <w:rFonts w:ascii="Times New Roman" w:cs="Times New Roman" w:eastAsia="Times New Roman" w:hAnsi="Times New Roman"/>
          <w:sz w:val="18"/>
          <w:szCs w:val="18"/>
          <w:color w:val="auto"/>
        </w:rPr>
        <w:t>The success payment liability is estimated at fair value at inception and at each subsequent reporting period, and the expense is accreted over the service period of the research and collaboration agreement. To determine the estimated fair value of the success payments, the Company uses a Monte Carlo simulation methodology which models the future movement of stock prices based on several key variables combined with empirical knowledge of the process governing the behavior of the stock price. The following variables were incorporated in the estimated fair value of the success payment liability: estimated fair value of the Company’s common stock, expected volatility, risk-free interest rate and the estimated number and timing of valuation measurement dates on the basis of which payments may be triggered. The computation of expected volatility was estimated based on available information about the historical volatility of stocks of similar publicly traded companies for a period matching the expected term assumption.</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Lyell Immunopharma,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3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Off-balance Sheet Risk</w:t>
      </w:r>
    </w:p>
    <w:p>
      <w:pPr>
        <w:spacing w:after="0" w:line="115" w:lineRule="exact"/>
        <w:rPr>
          <w:sz w:val="20"/>
          <w:szCs w:val="20"/>
          <w:color w:val="auto"/>
        </w:rPr>
      </w:pPr>
    </w:p>
    <w:p>
      <w:pPr>
        <w:ind w:right="100" w:firstLine="636"/>
        <w:spacing w:after="0" w:line="269" w:lineRule="auto"/>
        <w:rPr>
          <w:sz w:val="20"/>
          <w:szCs w:val="20"/>
          <w:color w:val="auto"/>
        </w:rPr>
      </w:pPr>
      <w:r>
        <w:rPr>
          <w:rFonts w:ascii="Times New Roman" w:cs="Times New Roman" w:eastAsia="Times New Roman" w:hAnsi="Times New Roman"/>
          <w:sz w:val="17"/>
          <w:szCs w:val="17"/>
          <w:color w:val="auto"/>
        </w:rPr>
        <w:t>The Company maintains its cash, cash equivalents and restricted cash with high quality, accredited financial institutions. These amounts, at times, may exceed federally insured limits. The Company also makes short-term investments in money market funds, U.S. Treasury securities, U.S. government agency securities and corporate debt securities, which can be subject to certain credit risk. However, the Company mitigates the risks by investing in high-grade instruments, limiting exposure to any one issuer or type of investment and monitoring the ongoing creditworthiness of the financial institutions and issuers. The Company has not experienced any credit losses in such accounts and does not believe it is exposed to significant risk on these funds. The Company has no off-balance sheet concentrations of credit risk, such as foreign currency exchange contracts, option contracts or other hedging arrangements.</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Claims and Contingencies</w:t>
      </w:r>
    </w:p>
    <w:p>
      <w:pPr>
        <w:spacing w:after="0" w:line="115" w:lineRule="exact"/>
        <w:rPr>
          <w:sz w:val="20"/>
          <w:szCs w:val="20"/>
          <w:color w:val="auto"/>
        </w:rPr>
      </w:pPr>
    </w:p>
    <w:p>
      <w:pPr>
        <w:ind w:right="120" w:firstLine="636"/>
        <w:spacing w:after="0" w:line="282" w:lineRule="auto"/>
        <w:rPr>
          <w:sz w:val="20"/>
          <w:szCs w:val="20"/>
          <w:color w:val="auto"/>
        </w:rPr>
      </w:pPr>
      <w:r>
        <w:rPr>
          <w:rFonts w:ascii="Times New Roman" w:cs="Times New Roman" w:eastAsia="Times New Roman" w:hAnsi="Times New Roman"/>
          <w:sz w:val="17"/>
          <w:szCs w:val="17"/>
          <w:color w:val="auto"/>
        </w:rPr>
        <w:t>From time to time, the Company may become involved in litigation and proceedings relating to claims arising from the ordinary course of business. The Company accrues a liability if the likelihood of an adverse outcome is probable and the amount is estimable. If the likelihood of an adverse outcome is only reasonably possible (as opposed to probable), or if an estimate is not determinable, the Company provides disclosure of a material claim or contingency.</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5" w:lineRule="exact"/>
        <w:rPr>
          <w:sz w:val="20"/>
          <w:szCs w:val="20"/>
          <w:color w:val="auto"/>
        </w:rPr>
      </w:pPr>
    </w:p>
    <w:p>
      <w:pPr>
        <w:ind w:right="140" w:firstLine="636"/>
        <w:spacing w:after="0" w:line="252" w:lineRule="auto"/>
        <w:rPr>
          <w:sz w:val="20"/>
          <w:szCs w:val="20"/>
          <w:color w:val="auto"/>
        </w:rPr>
      </w:pPr>
      <w:r>
        <w:rPr>
          <w:rFonts w:ascii="Times New Roman" w:cs="Times New Roman" w:eastAsia="Times New Roman" w:hAnsi="Times New Roman"/>
          <w:sz w:val="18"/>
          <w:szCs w:val="18"/>
          <w:color w:val="auto"/>
        </w:rPr>
        <w:t>Under ASC 718, the Company measures and recognizes expense for restricted stock awards (“RSAs”), restricted stock units (“RSUs”), employee stock purchases related to the Employee Stock Purchase Plan and stock options granted to employees, directors and consultants based on the fair value of the awards on the date of grant. The fair value of stock options is estimated using the Black-Scholes option pricing model. The Black-Scholes option pricing model requires inputs based on certain subjective assumptions including: stock price volatility, the expected term of stock options, the risk-free interest rate, expected dividends, and the fair value of the underlying common stock on the date of grant.</w:t>
      </w:r>
    </w:p>
    <w:p>
      <w:pPr>
        <w:spacing w:after="0" w:line="79" w:lineRule="exact"/>
        <w:rPr>
          <w:sz w:val="20"/>
          <w:szCs w:val="20"/>
          <w:color w:val="auto"/>
        </w:rPr>
      </w:pPr>
    </w:p>
    <w:p>
      <w:pPr>
        <w:ind w:right="80" w:firstLine="636"/>
        <w:spacing w:after="0" w:line="250" w:lineRule="auto"/>
        <w:rPr>
          <w:sz w:val="20"/>
          <w:szCs w:val="20"/>
          <w:color w:val="auto"/>
        </w:rPr>
      </w:pPr>
      <w:r>
        <w:rPr>
          <w:rFonts w:ascii="Times New Roman" w:cs="Times New Roman" w:eastAsia="Times New Roman" w:hAnsi="Times New Roman"/>
          <w:sz w:val="18"/>
          <w:szCs w:val="18"/>
          <w:color w:val="auto"/>
        </w:rPr>
        <w:t>The expected volatility is based on the historical volatility of the stock of similar entities within the Company’s industry over periods commensurate with the Company’s expected term assumption. The expected term of stock option grants represents the period the options are expected to remain outstanding and is based on the “simplified” method where the expected term is the midpoint between the vesting date and the end of the contractual term for each option. The Company used the simplified method as provided for under the applicable guidance for entities with a limited history of relevant stock option exercise activity. The Company bases the risk-free interest rate on the interest rate payable on U.S. Treasury securities in effect at the time of grant for a period that is commensurate with the assumed expected option term. In reference to the expected dividend yield assumption, the Company has not historically paid, and does not expect for the foreseeable future to pay, a dividend.</w:t>
      </w:r>
    </w:p>
    <w:p>
      <w:pPr>
        <w:spacing w:after="0" w:line="81" w:lineRule="exact"/>
        <w:rPr>
          <w:sz w:val="20"/>
          <w:szCs w:val="20"/>
          <w:color w:val="auto"/>
        </w:rPr>
      </w:pPr>
    </w:p>
    <w:p>
      <w:pPr>
        <w:ind w:right="40" w:firstLine="636"/>
        <w:spacing w:after="0" w:line="251" w:lineRule="auto"/>
        <w:rPr>
          <w:sz w:val="20"/>
          <w:szCs w:val="20"/>
          <w:color w:val="auto"/>
        </w:rPr>
      </w:pPr>
      <w:r>
        <w:rPr>
          <w:rFonts w:ascii="Times New Roman" w:cs="Times New Roman" w:eastAsia="Times New Roman" w:hAnsi="Times New Roman"/>
          <w:sz w:val="18"/>
          <w:szCs w:val="18"/>
          <w:color w:val="auto"/>
        </w:rPr>
        <w:t xml:space="preserve">Prior to the closing of the IPO, the Company utilized significant estimates and assumptions in determining the fair value of its common stock for financial reporting purposes. The Company recorded expense for RSAs and stock options at prices not less than the estimated fair market value of its common stock as determined by the board of directors, taking into consideration input from management and an independent third-party valuation analysis, and in accordance with the American Institute of Certified Public Accountants (“AICPA”) Accounting and Valuation Guide, </w:t>
      </w:r>
      <w:r>
        <w:rPr>
          <w:rFonts w:ascii="Times New Roman" w:cs="Times New Roman" w:eastAsia="Times New Roman" w:hAnsi="Times New Roman"/>
          <w:sz w:val="18"/>
          <w:szCs w:val="18"/>
          <w:i w:val="1"/>
          <w:iCs w:val="1"/>
          <w:color w:val="auto"/>
        </w:rPr>
        <w:t>Valuation of Privately-Held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Securities Issued as Compensation</w:t>
      </w:r>
      <w:r>
        <w:rPr>
          <w:rFonts w:ascii="Times New Roman" w:cs="Times New Roman" w:eastAsia="Times New Roman" w:hAnsi="Times New Roman"/>
          <w:sz w:val="18"/>
          <w:szCs w:val="18"/>
          <w:color w:val="auto"/>
        </w:rPr>
        <w:t>. Following the closing of the IPO, the fair value of the Company’s common stock is based on its closing price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reported on the NASDAQ Global Select Market on the date of grant.</w:t>
      </w:r>
    </w:p>
    <w:p>
      <w:pPr>
        <w:spacing w:after="0" w:line="79"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Stock-based compensation expense for RSAs, RSUs and stock options is recognized on a straight-line basis over the requisite service period, which is generally the vesting period of the respective award. The Company accounts for forfeitures as they occur.</w:t>
      </w:r>
    </w:p>
    <w:p>
      <w:pPr>
        <w:spacing w:after="0" w:line="57" w:lineRule="exact"/>
        <w:rPr>
          <w:sz w:val="20"/>
          <w:szCs w:val="20"/>
          <w:color w:val="auto"/>
        </w:rPr>
      </w:pPr>
    </w:p>
    <w:p>
      <w:pPr>
        <w:ind w:right="280" w:firstLine="636"/>
        <w:spacing w:after="0" w:line="259" w:lineRule="auto"/>
        <w:rPr>
          <w:sz w:val="20"/>
          <w:szCs w:val="20"/>
          <w:color w:val="auto"/>
        </w:rPr>
      </w:pPr>
      <w:r>
        <w:rPr>
          <w:rFonts w:ascii="Times New Roman" w:cs="Times New Roman" w:eastAsia="Times New Roman" w:hAnsi="Times New Roman"/>
          <w:sz w:val="18"/>
          <w:szCs w:val="18"/>
          <w:color w:val="auto"/>
        </w:rPr>
        <w:t>The Company also granted stock options that vest in conjunction with certain performance conditions to certain key employees. At each reporting date, the Company is required to evaluate whether achievement of the performance conditions is probable. Compensation expense is recorded over the appropriate service period based upon the Company’s assessment of accomplishing each performance provision.</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5" w:lineRule="exact"/>
        <w:rPr>
          <w:sz w:val="20"/>
          <w:szCs w:val="20"/>
          <w:color w:val="auto"/>
        </w:rPr>
      </w:pPr>
    </w:p>
    <w:p>
      <w:pPr>
        <w:jc w:val="both"/>
        <w:ind w:right="300" w:firstLine="636"/>
        <w:spacing w:after="0" w:line="259" w:lineRule="auto"/>
        <w:rPr>
          <w:sz w:val="20"/>
          <w:szCs w:val="20"/>
          <w:color w:val="auto"/>
        </w:rPr>
      </w:pPr>
      <w:r>
        <w:rPr>
          <w:rFonts w:ascii="Times New Roman" w:cs="Times New Roman" w:eastAsia="Times New Roman" w:hAnsi="Times New Roman"/>
          <w:sz w:val="18"/>
          <w:szCs w:val="18"/>
          <w:color w:val="auto"/>
        </w:rPr>
        <w:t>The Company determines its deferred tax assets and liabilities based on the differences between the financial reporting and tax basis of assets and liabilities. The deferred tax assets and liabilities are measured using the enacted tax rates that will be in effect when the differences are expected to reverse. A valuation allowance is recorded when it is more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Lyell Immunopharma,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2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likely than not that the deferred tax asset will not be recovered. The Company applies judgment in the determination of the financial statement recognition and measurement of a tax position taken or expected to be taken in a tax return. The Company recognizes any material interest and penalties related to unrecognized tax benefits in income tax expense.</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15" w:lineRule="exact"/>
        <w:rPr>
          <w:sz w:val="20"/>
          <w:szCs w:val="20"/>
          <w:color w:val="auto"/>
        </w:rPr>
      </w:pPr>
    </w:p>
    <w:p>
      <w:pPr>
        <w:ind w:right="220" w:firstLine="636"/>
        <w:spacing w:after="0" w:line="259"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and manages its business in one operating segment and one reportable segment.</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License, Collaboration and Success Payment Agreements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Fred Hutch</w:t>
      </w:r>
    </w:p>
    <w:p>
      <w:pPr>
        <w:spacing w:after="0" w:line="113" w:lineRule="exact"/>
        <w:rPr>
          <w:sz w:val="20"/>
          <w:szCs w:val="20"/>
          <w:color w:val="auto"/>
        </w:rPr>
      </w:pPr>
    </w:p>
    <w:p>
      <w:pPr>
        <w:jc w:val="both"/>
        <w:ind w:right="180" w:firstLine="636"/>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License Agreement </w:t>
      </w:r>
      <w:r>
        <w:rPr>
          <w:rFonts w:ascii="Times New Roman" w:cs="Times New Roman" w:eastAsia="Times New Roman" w:hAnsi="Times New Roman"/>
          <w:sz w:val="18"/>
          <w:szCs w:val="18"/>
          <w:color w:val="auto"/>
        </w:rPr>
        <w:t>- In 2018, the Company entered into a license agreement with Fred Hutch that grants the Company a worldwide, sublicensable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 under certain patent rights (exclusive) and certain technology (non-exclusive), to research, develop and commercialize products and processes for all therapeutic uses for the treatment of human cancer.</w:t>
      </w:r>
    </w:p>
    <w:p>
      <w:pPr>
        <w:spacing w:after="0" w:line="69" w:lineRule="exact"/>
        <w:rPr>
          <w:sz w:val="20"/>
          <w:szCs w:val="20"/>
          <w:color w:val="auto"/>
        </w:rPr>
      </w:pPr>
    </w:p>
    <w:p>
      <w:pPr>
        <w:ind w:right="260" w:firstLine="636"/>
        <w:spacing w:after="0" w:line="274" w:lineRule="auto"/>
        <w:rPr>
          <w:sz w:val="20"/>
          <w:szCs w:val="20"/>
          <w:color w:val="auto"/>
        </w:rPr>
      </w:pPr>
      <w:r>
        <w:rPr>
          <w:rFonts w:ascii="Times New Roman" w:cs="Times New Roman" w:eastAsia="Times New Roman" w:hAnsi="Times New Roman"/>
          <w:sz w:val="18"/>
          <w:szCs w:val="18"/>
          <w:color w:val="auto"/>
        </w:rPr>
        <w:t>The Company is also required to pay Fred Hutch annual license maintenance payments of $50,000 on the second anniversary of the effective date, and each anniversary of the effective date thereafter until the first commercial sale of a licensed product.</w:t>
      </w:r>
    </w:p>
    <w:p>
      <w:pPr>
        <w:spacing w:after="0" w:line="55" w:lineRule="exact"/>
        <w:rPr>
          <w:sz w:val="20"/>
          <w:szCs w:val="20"/>
          <w:color w:val="auto"/>
        </w:rPr>
      </w:pPr>
    </w:p>
    <w:p>
      <w:pPr>
        <w:ind w:right="20" w:firstLine="636"/>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Collaboration </w:t>
      </w:r>
      <w:r>
        <w:rPr>
          <w:rFonts w:ascii="Times New Roman" w:cs="Times New Roman" w:eastAsia="Times New Roman" w:hAnsi="Times New Roman"/>
          <w:sz w:val="18"/>
          <w:szCs w:val="18"/>
          <w:color w:val="auto"/>
        </w:rPr>
        <w:t>- In 2018, the Company entered into a research and collaboration agreement with Fred Hutch (“Fred Hutch Collaboration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focused on research and development of cancer immunotherapy products. The Company funded aggregate research performed by Fred Hutch of $12.0 million under the Fred Hutch Collaboration Agreement and the research is conducted in accordance with a research plan and budget approved by the parties. The Fred Hutch Collaboration Agreement has a six-year term. During 2021, one of the research plans on which the success payment service term is based, was extended from January 31, 2022 to December 31, 2022. The Company incurred $1.7 million, $4.2 million and $4.1 million in expense in connection with the Fred Hutch Collaboration Agreement for the years ended December 31, 2022, 2021 and 2020, respectively.</w:t>
      </w:r>
    </w:p>
    <w:p>
      <w:pPr>
        <w:spacing w:after="0" w:line="79" w:lineRule="exact"/>
        <w:rPr>
          <w:sz w:val="20"/>
          <w:szCs w:val="20"/>
          <w:color w:val="auto"/>
        </w:rPr>
      </w:pPr>
    </w:p>
    <w:p>
      <w:pPr>
        <w:ind w:right="220" w:firstLine="636"/>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Success Payments </w:t>
      </w:r>
      <w:r>
        <w:rPr>
          <w:rFonts w:ascii="Times New Roman" w:cs="Times New Roman" w:eastAsia="Times New Roman" w:hAnsi="Times New Roman"/>
          <w:sz w:val="18"/>
          <w:szCs w:val="18"/>
          <w:color w:val="auto"/>
        </w:rPr>
        <w:t>- In 2018, the Company granted Fred Hutch rights to certain success payments, pursuant to the terms of the Fred Hutch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Collaboration Agreement. The potential payments for the Fred Hutch success payments are based on multiples of increased value ranging from 10x to 50x based on a comparison of the per share fair market value of the Company’s common stock (as all shares of Series A convertible preferred stock were converted into an equivalent number of shares of common stock upon the closing of the IPO) relative to its original $1.83 per share issuance price. The aggregate success payments to Fred Hutch are not to exceed $200.0 million, which would only occur upon a 50 times increase in value. Each threshold is associated with a success payment, ascending from $10.0 million at $18.29 per share to $200.0 million at $91.44 per share, payable if such threshold is reached during the measurement period. Any previous success payments made are credited against the success payment owed as of any valuation date, such that Fred Hutch does not receive multiple success payments in connection with the same threshold. The term of the success payment agreement ends on the earlier to occur of (i) the nine-year anniversary of the date of the agreement and (ii) a change in control transaction.</w:t>
      </w:r>
    </w:p>
    <w:p>
      <w:pPr>
        <w:spacing w:after="0" w:line="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aggregate potential success payments, which are payable to Fred Hutch in cash or cash equivalents, or at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discretion, publicly-tradeable shares of the Company’s common stock:</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Multiple of initial equity value at issuance</w:t>
            </w:r>
          </w:p>
        </w:tc>
        <w:tc>
          <w:tcPr>
            <w:tcW w:w="2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10x</w:t>
            </w:r>
          </w:p>
        </w:tc>
        <w:tc>
          <w:tcPr>
            <w:tcW w:w="2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20x</w:t>
            </w:r>
          </w:p>
        </w:tc>
        <w:tc>
          <w:tcPr>
            <w:tcW w:w="2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30x</w:t>
            </w:r>
          </w:p>
        </w:tc>
        <w:tc>
          <w:tcPr>
            <w:tcW w:w="2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40x</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50x</w:t>
            </w:r>
          </w:p>
        </w:tc>
      </w:tr>
      <w:tr>
        <w:trPr>
          <w:trHeight w:val="23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share common stock price required for payment</w:t>
            </w:r>
          </w:p>
        </w:tc>
        <w:tc>
          <w:tcPr>
            <w:tcW w:w="2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91.44</w:t>
            </w:r>
          </w:p>
        </w:tc>
      </w:tr>
      <w:tr>
        <w:trPr>
          <w:trHeight w:val="25"/>
        </w:trPr>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success payment(s) (in millions)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5"/>
        </w:trPr>
        <w:tc>
          <w:tcPr>
            <w:tcW w:w="5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67" w:lineRule="exact"/>
        <w:rPr>
          <w:sz w:val="20"/>
          <w:szCs w:val="20"/>
          <w:color w:val="auto"/>
        </w:rPr>
      </w:pPr>
    </w:p>
    <w:p>
      <w:pPr>
        <w:jc w:val="both"/>
        <w:ind w:right="60" w:firstLine="636"/>
        <w:spacing w:after="0" w:line="274" w:lineRule="auto"/>
        <w:rPr>
          <w:sz w:val="20"/>
          <w:szCs w:val="20"/>
          <w:color w:val="auto"/>
        </w:rPr>
      </w:pPr>
      <w:r>
        <w:rPr>
          <w:rFonts w:ascii="Times New Roman" w:cs="Times New Roman" w:eastAsia="Times New Roman" w:hAnsi="Times New Roman"/>
          <w:sz w:val="18"/>
          <w:szCs w:val="18"/>
          <w:color w:val="auto"/>
        </w:rPr>
        <w:t>The success payments will be owed if the per share fair value of the Company’s common stock on the contractually specified valuation measurement dates during the term of the success payment agreement equals or exceeds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Lyell Immunopharma,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2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above outlined multiples. The valuation measurement dates are triggered by the following events: the one-year anniversary of the Company’s IPO and each two-year anniversary of the Company’s IPO thereafter, the closing of a change in control transaction and the last day of the term of the success payment agreement, unless the term has ended due to the closing of a change of control transaction. As of December 31, 2022, no success payments have been incurred as the per share fair value of the Company’s common stock was below the price required for payment.</w:t>
      </w:r>
    </w:p>
    <w:p>
      <w:pPr>
        <w:spacing w:after="0" w:line="74" w:lineRule="exact"/>
        <w:rPr>
          <w:sz w:val="20"/>
          <w:szCs w:val="20"/>
          <w:color w:val="auto"/>
        </w:rPr>
      </w:pPr>
    </w:p>
    <w:p>
      <w:pPr>
        <w:ind w:right="40" w:firstLine="636"/>
        <w:spacing w:after="0" w:line="271" w:lineRule="auto"/>
        <w:rPr>
          <w:sz w:val="20"/>
          <w:szCs w:val="20"/>
          <w:color w:val="auto"/>
        </w:rPr>
      </w:pPr>
      <w:r>
        <w:rPr>
          <w:rFonts w:ascii="Times New Roman" w:cs="Times New Roman" w:eastAsia="Times New Roman" w:hAnsi="Times New Roman"/>
          <w:sz w:val="17"/>
          <w:szCs w:val="17"/>
          <w:color w:val="auto"/>
        </w:rPr>
        <w:t>The estimated fair values of the success payments to Fred Hutch as of December 31, 2022 and 2021 were $2.5 million and $8.5 million, respectively. The success payment liability is estimated at the fair value at inception and at each subsequent reporting period and the expense is accreted over the service period of the Fred Hutch Collaboration Agreement. The success payment liability was $2.5 million and $6.4 million as of December 31, 2022 and 2021, respectively. With respect to the Fred Hutch Collaboration Agreement success payment obligations, the Company recognized a gain of $3.9 million for the year ended December 31, 2022, and success payment expense of $1.2 million and $4.8 million for the years ended December 31, 2021 and 2020,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Stanford</w:t>
      </w:r>
    </w:p>
    <w:p>
      <w:pPr>
        <w:spacing w:after="0" w:line="113" w:lineRule="exact"/>
        <w:rPr>
          <w:sz w:val="20"/>
          <w:szCs w:val="20"/>
          <w:color w:val="auto"/>
        </w:rPr>
      </w:pPr>
    </w:p>
    <w:p>
      <w:pPr>
        <w:ind w:right="200" w:firstLine="636"/>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License Agreement </w:t>
      </w:r>
      <w:r>
        <w:rPr>
          <w:rFonts w:ascii="Times New Roman" w:cs="Times New Roman" w:eastAsia="Times New Roman" w:hAnsi="Times New Roman"/>
          <w:sz w:val="18"/>
          <w:szCs w:val="18"/>
          <w:color w:val="auto"/>
        </w:rPr>
        <w:t>- In 2019, the Company entered into a license agreement with Stanford to license specified patent rights. The Company is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pay Stanford annual license maintenance payments of $50,000 on the second anniversary of the effective date, and each anniversary of the effective date thereafter until the date of the first commercial sale of a licensed product.</w:t>
      </w:r>
    </w:p>
    <w:p>
      <w:pPr>
        <w:spacing w:after="0" w:line="69" w:lineRule="exact"/>
        <w:rPr>
          <w:sz w:val="20"/>
          <w:szCs w:val="20"/>
          <w:color w:val="auto"/>
        </w:rPr>
      </w:pPr>
    </w:p>
    <w:p>
      <w:pPr>
        <w:ind w:right="340" w:firstLine="636"/>
        <w:spacing w:after="0" w:line="225" w:lineRule="exact"/>
        <w:rPr>
          <w:sz w:val="20"/>
          <w:szCs w:val="20"/>
          <w:color w:val="auto"/>
        </w:rPr>
      </w:pPr>
      <w:r>
        <w:rPr>
          <w:rFonts w:ascii="Times New Roman" w:cs="Times New Roman" w:eastAsia="Times New Roman" w:hAnsi="Times New Roman"/>
          <w:sz w:val="18"/>
          <w:szCs w:val="18"/>
          <w:color w:val="auto"/>
        </w:rPr>
        <w:t>Milestone payments to Stanford of up to a maximum of $3.7 million per target are payable upon achievement of certain specified clinical and regulatory milestones. The Company is also obligated to pay Stanford $2.5 million collectively for all licensed products upon the achievement of a certain commercial milestone. Additionally, low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digit tiered royalties based on annual net sales of the licensed products are payable to Stanford.</w:t>
      </w:r>
    </w:p>
    <w:p>
      <w:pPr>
        <w:spacing w:after="0" w:line="67" w:lineRule="exact"/>
        <w:rPr>
          <w:sz w:val="20"/>
          <w:szCs w:val="20"/>
          <w:color w:val="auto"/>
        </w:rPr>
      </w:pPr>
    </w:p>
    <w:p>
      <w:pPr>
        <w:ind w:right="20" w:firstLine="636"/>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Collaboration Agreement </w:t>
      </w:r>
      <w:r>
        <w:rPr>
          <w:rFonts w:ascii="Times New Roman" w:cs="Times New Roman" w:eastAsia="Times New Roman" w:hAnsi="Times New Roman"/>
          <w:sz w:val="17"/>
          <w:szCs w:val="17"/>
          <w:color w:val="auto"/>
        </w:rPr>
        <w:t>- In October 2020, the Company entered into a research and collaboration agreement with Stanford (“Stanford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Collaboration Agreement”), focused on research and development of cellular immunotherapy products. The Stanford Collaboration Agreement has a four-year term. The Company is committed to fund aggregate research performed by Stanford of $12.0 million under the Stanford Collaboration Agreement, and the research will be conducted in accordance with a research plan and budget approved by the parties. The Company incurred $3.0 million, $3.0 million and $0.8 million in expense in connection with the Stanford Collaboration Agreement for the years ended December 31, 2022, 2021, and 2020, respectively.</w:t>
      </w:r>
    </w:p>
    <w:p>
      <w:pPr>
        <w:spacing w:after="0" w:line="62" w:lineRule="exact"/>
        <w:rPr>
          <w:sz w:val="20"/>
          <w:szCs w:val="20"/>
          <w:color w:val="auto"/>
        </w:rPr>
      </w:pPr>
    </w:p>
    <w:p>
      <w:pPr>
        <w:ind w:firstLine="636"/>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Success Payments </w:t>
      </w:r>
      <w:r>
        <w:rPr>
          <w:rFonts w:ascii="Times New Roman" w:cs="Times New Roman" w:eastAsia="Times New Roman" w:hAnsi="Times New Roman"/>
          <w:sz w:val="18"/>
          <w:szCs w:val="18"/>
          <w:color w:val="auto"/>
        </w:rPr>
        <w:t>- In October 2020, the Company granted Stanford rights to certain success payments, pursuant to the terms of the Stanford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Collaboration Agreement. The potential payments for the Stanford Collaboration Agreement success payments are based on multiples of increased value ranging from 10x to 50x based on a comparison of the per share fair market value of the Company’s common stock (as all shares of Series A convertible preferred stock were converted into an equivalent number of shares of common stock upon the closing of the IPO) relative to its original $1.83 per share issuance price. The aggregate success payments to Stanford are not to exceed $200.0 million, which would only occur upon a 50 times increase in value. Each threshold is associated with a success payment, ascending from $10.0 million at $18.29 per share to $200.0 million at $91.44 per share, payable if such threshold is reached during the measurement period. Any previous success payments made are credited against the success payment owed as of any valuation date, so that Stanford does not receive multiple success payments in connection with the same threshold. The term of each success payment agreement ends on the earlier to occur of (i) the nine year anniversary of the date of the agreement and (ii) a change in control transaction.</w:t>
      </w:r>
    </w:p>
    <w:p>
      <w:pPr>
        <w:spacing w:after="0" w:line="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aggregate potential success payments, which are payable to Stanford in cash or cash equivalents, or at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discretion, publicly-tradeable shares of the Company’s common stock:</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Multiple of initial equity value at issuance</w:t>
            </w:r>
          </w:p>
        </w:tc>
        <w:tc>
          <w:tcPr>
            <w:tcW w:w="2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10x</w:t>
            </w:r>
          </w:p>
        </w:tc>
        <w:tc>
          <w:tcPr>
            <w:tcW w:w="2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20x</w:t>
            </w:r>
          </w:p>
        </w:tc>
        <w:tc>
          <w:tcPr>
            <w:tcW w:w="2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30x</w:t>
            </w:r>
          </w:p>
        </w:tc>
        <w:tc>
          <w:tcPr>
            <w:tcW w:w="2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40x</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50x</w:t>
            </w:r>
          </w:p>
        </w:tc>
      </w:tr>
      <w:tr>
        <w:trPr>
          <w:trHeight w:val="23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share common stock price required for payment</w:t>
            </w:r>
          </w:p>
        </w:tc>
        <w:tc>
          <w:tcPr>
            <w:tcW w:w="2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91.44</w:t>
            </w:r>
          </w:p>
        </w:tc>
      </w:tr>
      <w:tr>
        <w:trPr>
          <w:trHeight w:val="25"/>
        </w:trPr>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success payment(s) (in millions)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5"/>
        </w:trPr>
        <w:tc>
          <w:tcPr>
            <w:tcW w:w="5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67" w:lineRule="exact"/>
        <w:rPr>
          <w:sz w:val="20"/>
          <w:szCs w:val="20"/>
          <w:color w:val="auto"/>
        </w:rPr>
      </w:pPr>
    </w:p>
    <w:p>
      <w:pPr>
        <w:jc w:val="both"/>
        <w:ind w:right="60" w:firstLine="636"/>
        <w:spacing w:after="0" w:line="255" w:lineRule="auto"/>
        <w:rPr>
          <w:sz w:val="20"/>
          <w:szCs w:val="20"/>
          <w:color w:val="auto"/>
        </w:rPr>
      </w:pPr>
      <w:r>
        <w:rPr>
          <w:rFonts w:ascii="Times New Roman" w:cs="Times New Roman" w:eastAsia="Times New Roman" w:hAnsi="Times New Roman"/>
          <w:sz w:val="18"/>
          <w:szCs w:val="18"/>
          <w:color w:val="auto"/>
        </w:rPr>
        <w:t>The success payments will be owed if the per share fair value of the Company’s common stock on the contractually specified valuation measurement dates during the term of the success payment agreement equals or exceeds the above outlined multiples. The valuation measurement dates are triggered by the following events: the one-year anniversary of the Company’s IPO and each two-year anniversary of the Company’s IPO thereafter, the closing of a change in control transaction and the last day of the term of the success payment agreement, unless the term has ended due to the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Lyell Immunopharma,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23"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8"/>
          <w:szCs w:val="18"/>
          <w:color w:val="auto"/>
        </w:rPr>
        <w:t>closing of a change of control transaction. As of December 31, 2022, no success payments have been incurred as the per share fair value of the Company’s common stock was below the price required for payment.</w:t>
      </w:r>
    </w:p>
    <w:p>
      <w:pPr>
        <w:spacing w:after="0" w:line="57" w:lineRule="exact"/>
        <w:rPr>
          <w:sz w:val="20"/>
          <w:szCs w:val="20"/>
          <w:color w:val="auto"/>
        </w:rPr>
      </w:pPr>
    </w:p>
    <w:p>
      <w:pPr>
        <w:ind w:right="120" w:firstLine="636"/>
        <w:spacing w:after="0" w:line="271" w:lineRule="auto"/>
        <w:rPr>
          <w:sz w:val="20"/>
          <w:szCs w:val="20"/>
          <w:color w:val="auto"/>
        </w:rPr>
      </w:pPr>
      <w:r>
        <w:rPr>
          <w:rFonts w:ascii="Times New Roman" w:cs="Times New Roman" w:eastAsia="Times New Roman" w:hAnsi="Times New Roman"/>
          <w:sz w:val="17"/>
          <w:szCs w:val="17"/>
          <w:color w:val="auto"/>
        </w:rPr>
        <w:t>The estimated fair values of the success payments to Stanford as of December 31, 2022 and 2021 were $3.3 million and $9.9 million, respectively. The success payment liability is estimated at the fair value at inception and at each subsequent reporting period and the expense is accreted over the service period of the Stanford Collaboration Agreement. The success payment liability was $1.9 million and $3.1 million as of December 31, 2022 and 2021, respectively. With respect to the Stanford Collaboration Agreement success payment obligations, the Company recognized a gain of $1.2 million for the year ended December 31, 2022, and success payment expense of $2.5 million and $0.6 million for the years ended December 31, 2021 and 2020,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GSK</w:t>
      </w:r>
    </w:p>
    <w:p>
      <w:pPr>
        <w:spacing w:after="0" w:line="86" w:lineRule="exact"/>
        <w:rPr>
          <w:sz w:val="20"/>
          <w:szCs w:val="20"/>
          <w:color w:val="auto"/>
        </w:rPr>
      </w:pPr>
    </w:p>
    <w:p>
      <w:pPr>
        <w:ind w:right="40" w:firstLine="636"/>
        <w:spacing w:after="0" w:line="217" w:lineRule="exact"/>
        <w:rPr>
          <w:sz w:val="20"/>
          <w:szCs w:val="20"/>
          <w:color w:val="auto"/>
        </w:rPr>
      </w:pPr>
      <w:r>
        <w:rPr>
          <w:rFonts w:ascii="Times New Roman" w:cs="Times New Roman" w:eastAsia="Times New Roman" w:hAnsi="Times New Roman"/>
          <w:sz w:val="18"/>
          <w:szCs w:val="18"/>
          <w:color w:val="auto"/>
        </w:rPr>
        <w:t>In 2019, the Company entered into the GSK Agreement with GSK for potential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therapies that apply the Company’s platform technologies and cell therapy innovations with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receptors (“TCRs”) or chimeric antigen receptors (“CARs”) under distinct collaboration programs. The GSK Agreement defined two initial collaboration targets, LYL331 and LYL132, and allowed GSK to nominate seven additional targets through July 2024, noting no additional targets were nominated over the life of the GSK Agreement. The Company was expected to perform research and development services for each selected target up until a defined point (the “GSK Option Point”), at which time GSK would decide whether or not to exercise an option to obtain a license from the Company (“License Option”) and take over the future development and commercialization. In April 2021, GSK exercised the License Option on LYL331 (NY-ESO-1 TCR with c-Jun) and assumed sole responsibility for future development and commercialization of the program at its own cost and expense. The IND application for LYL132 was cleared in January 2022, though no patients were treated, and the IND for LYL331 was not submitted to the U.S. Food and Drug Administration. GSK terminated the GSK Agreement effective December 24, 2022 and Lyell has discontinued any further work on these programs. There are no future performance obligations associated with the GSK Agreement.</w:t>
      </w:r>
    </w:p>
    <w:p>
      <w:pPr>
        <w:spacing w:after="0" w:line="90" w:lineRule="exact"/>
        <w:rPr>
          <w:sz w:val="20"/>
          <w:szCs w:val="20"/>
          <w:color w:val="auto"/>
        </w:rPr>
      </w:pPr>
    </w:p>
    <w:p>
      <w:pPr>
        <w:ind w:right="20" w:firstLine="636"/>
        <w:spacing w:after="0" w:line="252" w:lineRule="auto"/>
        <w:rPr>
          <w:sz w:val="20"/>
          <w:szCs w:val="20"/>
          <w:color w:val="auto"/>
        </w:rPr>
      </w:pPr>
      <w:r>
        <w:rPr>
          <w:rFonts w:ascii="Times New Roman" w:cs="Times New Roman" w:eastAsia="Times New Roman" w:hAnsi="Times New Roman"/>
          <w:sz w:val="18"/>
          <w:szCs w:val="18"/>
          <w:color w:val="auto"/>
        </w:rPr>
        <w:t>The Company received a non-refundable upfront payment of $45.0 million under the GSK Agreement. In connection with the GSK Agreement, in May 2019, the Company also entered into a stock purchase agreement with GSK (“GSK Stock Purchase Agreement”), pursuant to which the Company agreed to sell 30,253,189 shares of Series AA convertible preferred stock at a price of $6.78 per share, which was above the issuance date estimated fair value of $4.84 per share. The difference between the per share values resulted in $58.6 million additional deemed consideration, bringing the total upfront consideration of the GSK Agreement to $103.6 million.</w:t>
      </w:r>
    </w:p>
    <w:p>
      <w:pPr>
        <w:spacing w:after="0" w:line="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GSK Agreement was deemed to be within the scope of ASC 606 because GSK engaged the Company to initially provide research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development services, which were outputs of its ongoing activities, in exchange for consideration. During the year ended December 31, 2022, the Company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recorded adjustments to revenue related to changes in estimates to complete its performance obligations under the GSK Agreement. These changes in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estimates were driven by the mutual agreement to conclude certain research activities in June 2022 and the termination of the GSK Agreement, effective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24, 2022, both of which resulted in changes to the measure of proportional cumulative performance. These adjustments increased revenue by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$83.6 million, decreased net loss by $83.6 million and resulted in a $0.34 reduction in the Company’s basic and diluted net loss per common share for the year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December 31, 2022.</w:t>
      </w:r>
    </w:p>
    <w:p>
      <w:pPr>
        <w:spacing w:after="0" w:line="92" w:lineRule="exact"/>
        <w:rPr>
          <w:sz w:val="20"/>
          <w:szCs w:val="20"/>
          <w:color w:val="auto"/>
        </w:rPr>
      </w:pPr>
    </w:p>
    <w:p>
      <w:pPr>
        <w:jc w:val="both"/>
        <w:ind w:right="220" w:firstLine="636"/>
        <w:spacing w:after="0" w:line="255" w:lineRule="auto"/>
        <w:rPr>
          <w:sz w:val="20"/>
          <w:szCs w:val="20"/>
          <w:color w:val="auto"/>
        </w:rPr>
      </w:pPr>
      <w:r>
        <w:rPr>
          <w:rFonts w:ascii="Times New Roman" w:cs="Times New Roman" w:eastAsia="Times New Roman" w:hAnsi="Times New Roman"/>
          <w:sz w:val="18"/>
          <w:szCs w:val="18"/>
          <w:color w:val="auto"/>
        </w:rPr>
        <w:t>The Company recognized revenue related to the research and development services related to the two initial targets of $84.7 million, $10.5 million and $7.8 million for the years ended December 31, 2022, 2021 and 2020 respectively. No license revenue was recognized for the year ended December 31, 2022. As of December 31, 2022 and 2021, the Company had deferred revenue of zero and $84.7 million, respectively, related to the GSK Agreement. As of December 31, 2022, there were no contract assets or contract liabilities related to the license contract.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PACT</w:t>
      </w:r>
    </w:p>
    <w:p>
      <w:pPr>
        <w:spacing w:after="0" w:line="115" w:lineRule="exact"/>
        <w:rPr>
          <w:sz w:val="20"/>
          <w:szCs w:val="20"/>
          <w:color w:val="auto"/>
        </w:rPr>
      </w:pPr>
    </w:p>
    <w:p>
      <w:pPr>
        <w:ind w:firstLine="636"/>
        <w:spacing w:after="0" w:line="215" w:lineRule="exact"/>
        <w:rPr>
          <w:sz w:val="20"/>
          <w:szCs w:val="20"/>
          <w:color w:val="auto"/>
        </w:rPr>
      </w:pPr>
      <w:r>
        <w:rPr>
          <w:rFonts w:ascii="Times New Roman" w:cs="Times New Roman" w:eastAsia="Times New Roman" w:hAnsi="Times New Roman"/>
          <w:sz w:val="18"/>
          <w:szCs w:val="18"/>
          <w:color w:val="auto"/>
        </w:rPr>
        <w:t>In June 2020, the Company entered into a commitment agreement (“PACT Commitment Agreement”) with PACT to jointly develop and test a next generation personalized anti-cancer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therapy against solid tumors. The Company paid PACT an upfront non-refundable payment of $50.0 million upon execution of the PACT Commitment Agreement. In November 2020, the parties agreed to suspend research and development activity under the PACT Commitment Agreement, and neither party would be required to conduct any further work under the development plan (including manufacturing development) nor incur any financial obligations (including milestone payments) that might otherwise arise, for as long as the parties continued to negotiate in good faith to resolve the issues that have arisen between them relating to the PACT Commitment Agreement.</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Lyell Immunopharma,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 June 2020 in connection with the entry into the PACT Commitment Agreement, the Company also entered into a stock purchase agreement with</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PACT (“PACT SPA”), pursuant to which the Company purchased 17,806,901 shares of PACT Series C-1 convertible preferred stock at a purchase price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$2.81 per share. As of the purchase date, the estimated fair value of the Series C-1 convertible preferred stock was $2.05 per share, and the difference between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the preferred stock as of the purchase date and the purchase price of $13.6 million was deemed to be additional consideration for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PACT Commitment Agreement and recognized as research and development expense. As a result, the total upfront consideration paid in connection with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PACT Commitment Agreement was $63.6 million and was included in research and development expenses. The remaining $36.4 million associated with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PACT Series C-1 convertible preferred stock was recorded in other investments. In the fourth quarter of 2021, the Company fully impaired the remaining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balance of $36.4 million. See Note 5, </w:t>
      </w:r>
      <w:r>
        <w:rPr>
          <w:rFonts w:ascii="Times New Roman" w:cs="Times New Roman" w:eastAsia="Times New Roman" w:hAnsi="Times New Roman"/>
          <w:sz w:val="18"/>
          <w:szCs w:val="18"/>
          <w:i w:val="1"/>
          <w:iCs w:val="1"/>
          <w:color w:val="auto"/>
        </w:rPr>
        <w:t>Other Investments</w:t>
      </w:r>
      <w:r>
        <w:rPr>
          <w:rFonts w:ascii="Times New Roman" w:cs="Times New Roman" w:eastAsia="Times New Roman" w:hAnsi="Times New Roman"/>
          <w:sz w:val="18"/>
          <w:szCs w:val="18"/>
          <w:color w:val="auto"/>
        </w:rPr>
        <w:t>, for additional details regarding the PACT investment impairment.</w:t>
      </w:r>
    </w:p>
    <w:p>
      <w:pPr>
        <w:spacing w:after="0" w:line="92" w:lineRule="exact"/>
        <w:rPr>
          <w:sz w:val="20"/>
          <w:szCs w:val="20"/>
          <w:color w:val="auto"/>
        </w:rPr>
      </w:pPr>
    </w:p>
    <w:p>
      <w:pPr>
        <w:ind w:right="100" w:firstLine="636"/>
        <w:spacing w:after="0" w:line="274" w:lineRule="auto"/>
        <w:rPr>
          <w:sz w:val="20"/>
          <w:szCs w:val="20"/>
          <w:color w:val="auto"/>
        </w:rPr>
      </w:pPr>
      <w:r>
        <w:rPr>
          <w:rFonts w:ascii="Times New Roman" w:cs="Times New Roman" w:eastAsia="Times New Roman" w:hAnsi="Times New Roman"/>
          <w:sz w:val="18"/>
          <w:szCs w:val="18"/>
          <w:color w:val="auto"/>
        </w:rPr>
        <w:t>In February 2021, the Company filed a demand for arbitration seeking, among other things, rescission of the PACT Commitment Agreement and the PACT SPA and recovery of the consideration paid thereunder. Arbitration hearings occurred in March and April 2022.</w:t>
      </w:r>
    </w:p>
    <w:p>
      <w:pPr>
        <w:spacing w:after="0" w:line="57" w:lineRule="exact"/>
        <w:rPr>
          <w:sz w:val="20"/>
          <w:szCs w:val="20"/>
          <w:color w:val="auto"/>
        </w:rPr>
      </w:pPr>
    </w:p>
    <w:p>
      <w:pPr>
        <w:ind w:right="100" w:firstLine="636"/>
        <w:spacing w:after="0" w:line="214" w:lineRule="exact"/>
        <w:rPr>
          <w:sz w:val="20"/>
          <w:szCs w:val="20"/>
          <w:color w:val="auto"/>
        </w:rPr>
      </w:pPr>
      <w:r>
        <w:rPr>
          <w:rFonts w:ascii="Times New Roman" w:cs="Times New Roman" w:eastAsia="Times New Roman" w:hAnsi="Times New Roman"/>
          <w:sz w:val="18"/>
          <w:szCs w:val="18"/>
          <w:color w:val="auto"/>
        </w:rPr>
        <w:t>On October 1, 2022, the Company entered into a settlement agreement with PACT, pursuant to which the parties agreed to resolve their outstanding legal dispute. In connection with the settlement agreement, the parties also entered into a stock purchase agreement, pursuant to which PACT issued shares of PACT’s Series D convertible preferred stock to the Company in exchange for the Company’s tender of its PACT Series C-1 convertible preferred stock and resolution of the arbitration. The issuance of PACT’s Series D convertible preferred stock, which are non-voting, have limited conversion rights and carry no right to appoint directors, resulted in the Company’s ownership increasing to approximately 80% of PACT’s fully diluted shares outstanding. The settlement agreement also included the termination of the PACT Commitment Agreement to jointly develop a next generation anti-cancer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therapy against solid tumors. The Company recorded a gain of $2.9 million on October 1, 2022 for the estimated fair value of the PACT Series D convertible preferred stock received as part of the settlement agreement. The PACT Series D convertible preferred stock was recorded at its estimated fair value as of the settlement date and is included in other investments in the Company’s Consolidated Balance Sheets.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Cash Equivalents and Marketable Securities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fair value and amortized cost of cash equivalents and marketable securities by major security type are as follows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60" w:type="dxa"/>
            <w:vAlign w:val="bottom"/>
            <w:gridSpan w:val="6"/>
          </w:tcPr>
          <w:p>
            <w:pPr>
              <w:ind w:left="9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0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5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60" w:type="dxa"/>
            <w:vAlign w:val="bottom"/>
          </w:tcPr>
          <w:p>
            <w:pPr>
              <w:jc w:val="center"/>
              <w:ind w:left="263"/>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160" w:type="dxa"/>
            <w:vAlign w:val="bottom"/>
          </w:tcPr>
          <w:p>
            <w:pPr>
              <w:jc w:val="center"/>
              <w:ind w:left="263"/>
              <w:spacing w:after="0" w:line="15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40"/>
              <w:spacing w:after="0" w:line="15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60" w:type="dxa"/>
            <w:vAlign w:val="bottom"/>
          </w:tcPr>
          <w:p>
            <w:pPr>
              <w:jc w:val="center"/>
              <w:ind w:left="263"/>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12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8"/>
        </w:trPr>
        <w:tc>
          <w:tcPr>
            <w:tcW w:w="50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67,970</w:t>
            </w: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96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67,970</w:t>
            </w:r>
          </w:p>
        </w:tc>
        <w:tc>
          <w:tcPr>
            <w:tcW w:w="0" w:type="dxa"/>
            <w:vAlign w:val="bottom"/>
          </w:tcPr>
          <w:p>
            <w:pPr>
              <w:spacing w:after="0"/>
              <w:rPr>
                <w:sz w:val="1"/>
                <w:szCs w:val="1"/>
                <w:color w:val="auto"/>
              </w:rPr>
            </w:pPr>
          </w:p>
        </w:tc>
      </w:tr>
      <w:tr>
        <w:trPr>
          <w:trHeight w:val="24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277,056</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271,799</w:t>
            </w: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135,460</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134,045</w:t>
            </w:r>
          </w:p>
        </w:tc>
        <w:tc>
          <w:tcPr>
            <w:tcW w:w="0" w:type="dxa"/>
            <w:vAlign w:val="bottom"/>
          </w:tcPr>
          <w:p>
            <w:pPr>
              <w:spacing w:after="0"/>
              <w:rPr>
                <w:sz w:val="1"/>
                <w:szCs w:val="1"/>
                <w:color w:val="auto"/>
              </w:rPr>
            </w:pPr>
          </w:p>
        </w:tc>
      </w:tr>
      <w:tr>
        <w:trPr>
          <w:trHeight w:val="24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221,608</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220,681</w:t>
            </w:r>
          </w:p>
        </w:tc>
        <w:tc>
          <w:tcPr>
            <w:tcW w:w="0" w:type="dxa"/>
            <w:vAlign w:val="bottom"/>
          </w:tcPr>
          <w:p>
            <w:pPr>
              <w:spacing w:after="0"/>
              <w:rPr>
                <w:sz w:val="1"/>
                <w:szCs w:val="1"/>
                <w:color w:val="auto"/>
              </w:rPr>
            </w:pPr>
          </w:p>
        </w:tc>
      </w:tr>
      <w:tr>
        <w:trPr>
          <w:trHeight w:val="25"/>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702,094</w:t>
            </w: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96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694,495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Classified as: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50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5"/>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107,780</w:t>
            </w:r>
          </w:p>
        </w:tc>
        <w:tc>
          <w:tcPr>
            <w:tcW w:w="0" w:type="dxa"/>
            <w:vAlign w:val="bottom"/>
          </w:tcPr>
          <w:p>
            <w:pPr>
              <w:spacing w:after="0"/>
              <w:rPr>
                <w:sz w:val="1"/>
                <w:szCs w:val="1"/>
                <w:color w:val="auto"/>
              </w:rPr>
            </w:pPr>
          </w:p>
        </w:tc>
      </w:tr>
      <w:tr>
        <w:trPr>
          <w:trHeight w:val="240"/>
        </w:trPr>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516,598</w:t>
            </w: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70,117</w:t>
            </w:r>
          </w:p>
        </w:tc>
        <w:tc>
          <w:tcPr>
            <w:tcW w:w="0" w:type="dxa"/>
            <w:vAlign w:val="bottom"/>
          </w:tcPr>
          <w:p>
            <w:pPr>
              <w:spacing w:after="0"/>
              <w:rPr>
                <w:sz w:val="1"/>
                <w:szCs w:val="1"/>
                <w:color w:val="auto"/>
              </w:rPr>
            </w:pPr>
          </w:p>
        </w:tc>
      </w:tr>
      <w:tr>
        <w:trPr>
          <w:trHeight w:val="25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694,495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vMerge w:val="restart"/>
          </w:tcPr>
          <w:p>
            <w:pPr>
              <w:jc w:val="right"/>
              <w:ind w:right="676"/>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5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0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Lyell Immunopharma,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60" w:type="dxa"/>
            <w:vAlign w:val="bottom"/>
            <w:gridSpan w:val="6"/>
          </w:tcPr>
          <w:p>
            <w:pPr>
              <w:ind w:left="9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0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5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60" w:type="dxa"/>
            <w:vAlign w:val="bottom"/>
          </w:tcPr>
          <w:p>
            <w:pPr>
              <w:jc w:val="center"/>
              <w:ind w:left="263"/>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160" w:type="dxa"/>
            <w:vAlign w:val="bottom"/>
          </w:tcPr>
          <w:p>
            <w:pPr>
              <w:jc w:val="center"/>
              <w:ind w:left="263"/>
              <w:spacing w:after="0" w:line="15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40"/>
              <w:spacing w:after="0" w:line="15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60" w:type="dxa"/>
            <w:vAlign w:val="bottom"/>
          </w:tcPr>
          <w:p>
            <w:pPr>
              <w:jc w:val="center"/>
              <w:ind w:left="263"/>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12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8"/>
        </w:trPr>
        <w:tc>
          <w:tcPr>
            <w:tcW w:w="50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206,245</w:t>
            </w: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96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206,245</w:t>
            </w:r>
          </w:p>
        </w:tc>
        <w:tc>
          <w:tcPr>
            <w:tcW w:w="0" w:type="dxa"/>
            <w:vAlign w:val="bottom"/>
          </w:tcPr>
          <w:p>
            <w:pPr>
              <w:spacing w:after="0"/>
              <w:rPr>
                <w:sz w:val="1"/>
                <w:szCs w:val="1"/>
                <w:color w:val="auto"/>
              </w:rPr>
            </w:pPr>
          </w:p>
        </w:tc>
      </w:tr>
      <w:tr>
        <w:trPr>
          <w:trHeight w:val="23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290,909</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289,706</w:t>
            </w: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93,864</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93,626</w:t>
            </w:r>
          </w:p>
        </w:tc>
        <w:tc>
          <w:tcPr>
            <w:tcW w:w="0" w:type="dxa"/>
            <w:vAlign w:val="bottom"/>
          </w:tcPr>
          <w:p>
            <w:pPr>
              <w:spacing w:after="0"/>
              <w:rPr>
                <w:sz w:val="1"/>
                <w:szCs w:val="1"/>
                <w:color w:val="auto"/>
              </w:rPr>
            </w:pPr>
          </w:p>
        </w:tc>
      </w:tr>
      <w:tr>
        <w:trPr>
          <w:trHeight w:val="24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285,338</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285,156</w:t>
            </w:r>
          </w:p>
        </w:tc>
        <w:tc>
          <w:tcPr>
            <w:tcW w:w="0" w:type="dxa"/>
            <w:vAlign w:val="bottom"/>
          </w:tcPr>
          <w:p>
            <w:pPr>
              <w:spacing w:after="0"/>
              <w:rPr>
                <w:sz w:val="1"/>
                <w:szCs w:val="1"/>
                <w:color w:val="auto"/>
              </w:rPr>
            </w:pPr>
          </w:p>
        </w:tc>
      </w:tr>
      <w:tr>
        <w:trPr>
          <w:trHeight w:val="25"/>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876,356</w:t>
            </w: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96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874,733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Classified as: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50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5"/>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270,236</w:t>
            </w:r>
          </w:p>
        </w:tc>
        <w:tc>
          <w:tcPr>
            <w:tcW w:w="0" w:type="dxa"/>
            <w:vAlign w:val="bottom"/>
          </w:tcPr>
          <w:p>
            <w:pPr>
              <w:spacing w:after="0"/>
              <w:rPr>
                <w:sz w:val="1"/>
                <w:szCs w:val="1"/>
                <w:color w:val="auto"/>
              </w:rPr>
            </w:pPr>
          </w:p>
        </w:tc>
      </w:tr>
      <w:tr>
        <w:trPr>
          <w:trHeight w:val="240"/>
        </w:trPr>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320,966</w:t>
            </w: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283,531</w:t>
            </w:r>
          </w:p>
        </w:tc>
        <w:tc>
          <w:tcPr>
            <w:tcW w:w="0" w:type="dxa"/>
            <w:vAlign w:val="bottom"/>
          </w:tcPr>
          <w:p>
            <w:pPr>
              <w:spacing w:after="0"/>
              <w:rPr>
                <w:sz w:val="1"/>
                <w:szCs w:val="1"/>
                <w:color w:val="auto"/>
              </w:rPr>
            </w:pPr>
          </w:p>
        </w:tc>
      </w:tr>
      <w:tr>
        <w:trPr>
          <w:trHeight w:val="25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874,733</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right="60" w:firstLine="636"/>
        <w:spacing w:after="0" w:line="257" w:lineRule="auto"/>
        <w:rPr>
          <w:sz w:val="20"/>
          <w:szCs w:val="20"/>
          <w:color w:val="auto"/>
        </w:rPr>
      </w:pPr>
      <w:r>
        <w:rPr>
          <w:rFonts w:ascii="Times New Roman" w:cs="Times New Roman" w:eastAsia="Times New Roman" w:hAnsi="Times New Roman"/>
          <w:sz w:val="18"/>
          <w:szCs w:val="18"/>
          <w:color w:val="auto"/>
        </w:rPr>
        <w:t>The fair value of securities held by the Company in an unrealized loss position for less than 12 months were $287.8 million and $602.9 million, as of December 31, 2022 and 2021, respectively. The fair value of securities held by the Company in an unrealized continuous loss position for greater than</w:t>
      </w:r>
    </w:p>
    <w:p>
      <w:pPr>
        <w:ind w:right="20"/>
        <w:spacing w:after="0" w:line="246" w:lineRule="auto"/>
        <w:rPr>
          <w:sz w:val="20"/>
          <w:szCs w:val="20"/>
          <w:color w:val="auto"/>
        </w:rPr>
      </w:pPr>
      <w:r>
        <w:rPr>
          <w:rFonts w:ascii="Times New Roman" w:cs="Times New Roman" w:eastAsia="Times New Roman" w:hAnsi="Times New Roman"/>
          <w:sz w:val="18"/>
          <w:szCs w:val="18"/>
          <w:color w:val="auto"/>
        </w:rPr>
        <w:t xml:space="preserve">12 months were $278.7 million and zero as of December 31, 2022 and 2021, respectively. As of December 31, 2022 and 2021, all of the Company’s marketable securities had a maturity date of two years or less, were available for use and were classified as available-for-sale. The Company does not intend to sell these securities nor does the Company believe that it will be required to sell these securities before recovery of their amortized cost basis. The Company determined that there was no material change in the credit risk of the above investments during the years ended December 31, 2022 and 2021. As such, an allowance for credit losses has not been recognized. Gross realized gains and losses were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for the years ended December 31, 2022 and 2021 and as a result, amounts reclassified out of accumulated other comprehensive loss for the years ended December 31, 2022 and 2021 were also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See Note 6,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for additional information regarding cash equivalents and marketable securities.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Other Investments</w:t>
      </w:r>
    </w:p>
    <w:p>
      <w:pPr>
        <w:spacing w:after="0" w:line="113" w:lineRule="exact"/>
        <w:rPr>
          <w:sz w:val="20"/>
          <w:szCs w:val="20"/>
          <w:color w:val="auto"/>
        </w:rPr>
      </w:pPr>
    </w:p>
    <w:p>
      <w:pPr>
        <w:ind w:right="120" w:firstLine="636"/>
        <w:spacing w:after="0" w:line="255" w:lineRule="auto"/>
        <w:rPr>
          <w:sz w:val="20"/>
          <w:szCs w:val="20"/>
          <w:color w:val="auto"/>
        </w:rPr>
      </w:pPr>
      <w:r>
        <w:rPr>
          <w:rFonts w:ascii="Times New Roman" w:cs="Times New Roman" w:eastAsia="Times New Roman" w:hAnsi="Times New Roman"/>
          <w:sz w:val="18"/>
          <w:szCs w:val="18"/>
          <w:color w:val="auto"/>
        </w:rPr>
        <w:t>From time to time, the Company makes minority ownership strategic investments. As of December 31, 2022 and 2021, the aggregate carrying amounts of the Company’s strategic investments in non-publicly traded companies were $44.9 million and $47.0 million, respectively. These investments are measured at initial cost, minus impairment, if any, and plus or minus changes resulting from observable price changes in orderly transactions for the identical or a similar investment of the same issuer.</w:t>
      </w:r>
    </w:p>
    <w:p>
      <w:pPr>
        <w:spacing w:after="0" w:line="74" w:lineRule="exact"/>
        <w:rPr>
          <w:sz w:val="20"/>
          <w:szCs w:val="20"/>
          <w:color w:val="auto"/>
        </w:rPr>
      </w:pPr>
    </w:p>
    <w:p>
      <w:pPr>
        <w:ind w:right="100" w:firstLine="636"/>
        <w:spacing w:after="0" w:line="249" w:lineRule="auto"/>
        <w:rPr>
          <w:sz w:val="20"/>
          <w:szCs w:val="20"/>
          <w:color w:val="auto"/>
        </w:rPr>
      </w:pPr>
      <w:r>
        <w:rPr>
          <w:rFonts w:ascii="Times New Roman" w:cs="Times New Roman" w:eastAsia="Times New Roman" w:hAnsi="Times New Roman"/>
          <w:sz w:val="18"/>
          <w:szCs w:val="18"/>
          <w:color w:val="auto"/>
        </w:rPr>
        <w:t>In connection with the preparation of the financial statements for 2022, the Company performed a qualitative assessment of potential indicators of impairment and determined that indicators existed for one of the Company’s other investments with a carrying amount of $5.0 million. While there was no single event or factor, the Company considered the underlying company’s operating cash flow requirements over the next year and liquid asset balances to fund those requirements and the underlying company’s inability to raise funds as indicators of impairment. Due to these indicators, the Company assessed the valuation of the investment and determined the fair value to be negligible and the impairment to be other-than-temporary in nature. As a result, the Company recorded a $5.0 million impairment expense for the investment for the year ended December 31, 2022, which was recorded within impairment of other investments on the Consolidated Statement of Operations and Comprehensive Loss and as a reduction to the investment balance within other investments on the Consolidated Balance Sheet. No other investments were impaired for the year ended December 31, 2022.</w:t>
      </w:r>
    </w:p>
    <w:p>
      <w:pPr>
        <w:spacing w:after="0" w:line="82" w:lineRule="exact"/>
        <w:rPr>
          <w:sz w:val="20"/>
          <w:szCs w:val="20"/>
          <w:color w:val="auto"/>
        </w:rPr>
      </w:pPr>
    </w:p>
    <w:p>
      <w:pPr>
        <w:ind w:right="80" w:firstLine="636"/>
        <w:spacing w:after="0" w:line="250" w:lineRule="auto"/>
        <w:rPr>
          <w:sz w:val="20"/>
          <w:szCs w:val="20"/>
          <w:color w:val="auto"/>
        </w:rPr>
      </w:pPr>
      <w:r>
        <w:rPr>
          <w:rFonts w:ascii="Times New Roman" w:cs="Times New Roman" w:eastAsia="Times New Roman" w:hAnsi="Times New Roman"/>
          <w:sz w:val="18"/>
          <w:szCs w:val="18"/>
          <w:color w:val="auto"/>
        </w:rPr>
        <w:t xml:space="preserve">In October 2022, the Company received non-voting preferred stock pursuant to the settlement agreement with PACT (See Note 3, </w:t>
      </w:r>
      <w:r>
        <w:rPr>
          <w:rFonts w:ascii="Times New Roman" w:cs="Times New Roman" w:eastAsia="Times New Roman" w:hAnsi="Times New Roman"/>
          <w:sz w:val="18"/>
          <w:szCs w:val="18"/>
          <w:i w:val="1"/>
          <w:iCs w:val="1"/>
          <w:color w:val="auto"/>
        </w:rPr>
        <w:t>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Collaboration and Success Payment Agreements</w:t>
      </w:r>
      <w:r>
        <w:rPr>
          <w:rFonts w:ascii="Times New Roman" w:cs="Times New Roman" w:eastAsia="Times New Roman" w:hAnsi="Times New Roman"/>
          <w:sz w:val="18"/>
          <w:szCs w:val="18"/>
          <w:color w:val="auto"/>
        </w:rPr>
        <w:t>). The Company determined that PACT is a VIE as PACT does not have sufficient equity at risk.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evaluated whether it was the primary beneficiary of PACT, including the Company’s ongoing rights and responsibilities, to assess whether the Company has the power to direct the activities of PACT. The Company’s only involvement in PACT is its PACT Series D convertible preferred stock investment, which are non-voting, have limited conversion rights and carry no right to appoint directors. Based on the above noted factors, the Company determined that it is not the primary beneficiary and does not consolidate PACT since it does not have the power to direct the activities that most significantly impact PACT’s economic performance. The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Lyell Immunopharma,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2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Company does not have the ability to exercise significant influence over PACT and accounts for its investment in PACT preferred stock under the measurement alternative. The Company recognized its investment in PACT preferred stock at its estimated fair value of $2.9 million on October 1, 2022, which is included in the Company’s Consolidated Balance Sheets within other investments. The Company’s maximum exposure to loss from PACT is limited to the carrying value of its investment in PACT preferred stock.</w:t>
      </w:r>
    </w:p>
    <w:p>
      <w:pPr>
        <w:spacing w:after="0" w:line="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connection with the preparation of the financial statements for 2021, the Company performed a qualitative assessment of potential indicators of</w:t>
      </w:r>
    </w:p>
    <w:p>
      <w:pPr>
        <w:spacing w:after="0" w:line="4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impairment and determined that indicators existed for its $36.4 million investment in PACT Series C-1 convertible preferred stock. While there was no single event or factor, the Company considered PACT’s operating cash flow requirements over the next year and liquid asset balances to fund those requirements and PACT’s inability to raise funds as indicators of impairment. Due to these indicators, the Company assessed the valuation of the investment in PACT as of December 31, 2021 and determined the fair value to be negligible and the impairment to be other-than-temporary in nature. As a result, the Company recorded a $36.4 million impairment expense for the PACT investment in the fourth quarter of 2021, which was recorded within impairment of other investments on the Consolidated Statement of Operations and Comprehensive Loss and as a reduction to the investment balance within other investments on the Consolidated Balance Sheet. Aside from the investment in PACT, no other investments were impaired for the year ended December 31, 2021.</w:t>
      </w:r>
    </w:p>
    <w:p>
      <w:pPr>
        <w:spacing w:after="0" w:line="68" w:lineRule="exact"/>
        <w:rPr>
          <w:sz w:val="20"/>
          <w:szCs w:val="20"/>
          <w:color w:val="auto"/>
        </w:rPr>
      </w:pPr>
    </w:p>
    <w:p>
      <w:pPr>
        <w:ind w:firstLine="636"/>
        <w:spacing w:after="0" w:line="251" w:lineRule="auto"/>
        <w:rPr>
          <w:sz w:val="20"/>
          <w:szCs w:val="20"/>
          <w:color w:val="auto"/>
        </w:rPr>
      </w:pPr>
      <w:r>
        <w:rPr>
          <w:rFonts w:ascii="Times New Roman" w:cs="Times New Roman" w:eastAsia="Times New Roman" w:hAnsi="Times New Roman"/>
          <w:sz w:val="18"/>
          <w:szCs w:val="18"/>
          <w:color w:val="auto"/>
        </w:rPr>
        <w:t>In November 2020, the Company made a strategic equity investment of $13.0 million in Outpace Bio, Inc. (“Outpace”), a privately-held company, which represented a minority ownership interest at the time of the strategic investment. Outpace is engaged in the research and development of protein and cell technology platforms and has financed its activities via issuances of preferred stock. The Company determined that Outpace is a VIE and the at-risk equity holders, as a group, lack the characteristics of a controlling financial interest. The Company does not have majority voting rights, representation on Outpace’s board of directors or the power to direct the activities of this entity, and therefore it is not the primary beneficiary. As of both December 31, 2022 and 2021, the carrying value of the Company’s investment in Outpace was $13.0 million, which is recorded in other investments.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13" w:lineRule="exact"/>
        <w:rPr>
          <w:sz w:val="20"/>
          <w:szCs w:val="20"/>
          <w:color w:val="auto"/>
        </w:rPr>
      </w:pPr>
    </w:p>
    <w:p>
      <w:pPr>
        <w:ind w:right="140" w:firstLine="636"/>
        <w:spacing w:after="0" w:line="274" w:lineRule="auto"/>
        <w:rPr>
          <w:sz w:val="20"/>
          <w:szCs w:val="20"/>
          <w:color w:val="auto"/>
        </w:rPr>
      </w:pPr>
      <w:r>
        <w:rPr>
          <w:rFonts w:ascii="Times New Roman" w:cs="Times New Roman" w:eastAsia="Times New Roman" w:hAnsi="Times New Roman"/>
          <w:sz w:val="18"/>
          <w:szCs w:val="18"/>
          <w:color w:val="auto"/>
        </w:rPr>
        <w:t>The following table sets forth the fair value of the Company’s financial assets and liabilities measured at fair value on a recurring basis based on the three-tier fair value hierarchy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gridSpan w:val="3"/>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5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5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5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40"/>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67,970</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67,970</w:t>
            </w:r>
          </w:p>
        </w:tc>
      </w:tr>
      <w:tr>
        <w:trPr>
          <w:trHeight w:val="25"/>
        </w:trPr>
        <w:tc>
          <w:tcPr>
            <w:tcW w:w="5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5"/>
        </w:trPr>
        <w:tc>
          <w:tcPr>
            <w:tcW w:w="5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271,799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271,799</w:t>
            </w:r>
          </w:p>
        </w:tc>
      </w:tr>
      <w:tr>
        <w:trPr>
          <w:trHeight w:val="240"/>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134,045</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134,045</w:t>
            </w:r>
          </w:p>
        </w:tc>
      </w:tr>
      <w:tr>
        <w:trPr>
          <w:trHeight w:val="25"/>
        </w:trPr>
        <w:tc>
          <w:tcPr>
            <w:tcW w:w="5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5"/>
        </w:trPr>
        <w:tc>
          <w:tcPr>
            <w:tcW w:w="5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220,681</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220,681</w:t>
            </w:r>
          </w:p>
        </w:tc>
      </w:tr>
      <w:tr>
        <w:trPr>
          <w:trHeight w:val="258"/>
        </w:trPr>
        <w:tc>
          <w:tcPr>
            <w:tcW w:w="5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financial assets</w:t>
            </w: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67,970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626,525</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694,495</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2"/>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40"/>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Success payment liabilities</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4,356</w:t>
            </w:r>
          </w:p>
        </w:tc>
        <w:tc>
          <w:tcPr>
            <w:tcW w:w="10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w:t>
            </w:r>
          </w:p>
        </w:tc>
      </w:tr>
      <w:tr>
        <w:trPr>
          <w:trHeight w:val="25"/>
        </w:trPr>
        <w:tc>
          <w:tcPr>
            <w:tcW w:w="5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8"/>
        </w:trPr>
        <w:tc>
          <w:tcPr>
            <w:tcW w:w="5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4,356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862"/>
        </w:trPr>
        <w:tc>
          <w:tcPr>
            <w:tcW w:w="5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1"/>
        </w:trPr>
        <w:tc>
          <w:tcPr>
            <w:tcW w:w="5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Lyell Immunopharma,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gridSpan w:val="3"/>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8"/>
        </w:trPr>
        <w:tc>
          <w:tcPr>
            <w:tcW w:w="5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206,245</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206,245</w:t>
            </w:r>
          </w:p>
        </w:tc>
        <w:tc>
          <w:tcPr>
            <w:tcW w:w="0" w:type="dxa"/>
            <w:vAlign w:val="bottom"/>
          </w:tcPr>
          <w:p>
            <w:pPr>
              <w:spacing w:after="0"/>
              <w:rPr>
                <w:sz w:val="1"/>
                <w:szCs w:val="1"/>
                <w:color w:val="auto"/>
              </w:rPr>
            </w:pPr>
          </w:p>
        </w:tc>
      </w:tr>
      <w:tr>
        <w:trPr>
          <w:trHeight w:val="25"/>
        </w:trPr>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289,706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289,706</w:t>
            </w:r>
          </w:p>
        </w:tc>
        <w:tc>
          <w:tcPr>
            <w:tcW w:w="0" w:type="dxa"/>
            <w:vAlign w:val="bottom"/>
          </w:tcPr>
          <w:p>
            <w:pPr>
              <w:spacing w:after="0"/>
              <w:rPr>
                <w:sz w:val="1"/>
                <w:szCs w:val="1"/>
                <w:color w:val="auto"/>
              </w:rPr>
            </w:pPr>
          </w:p>
        </w:tc>
      </w:tr>
      <w:tr>
        <w:trPr>
          <w:trHeight w:val="240"/>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93,626</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93,626</w:t>
            </w:r>
          </w:p>
        </w:tc>
        <w:tc>
          <w:tcPr>
            <w:tcW w:w="0" w:type="dxa"/>
            <w:vAlign w:val="bottom"/>
          </w:tcPr>
          <w:p>
            <w:pPr>
              <w:spacing w:after="0"/>
              <w:rPr>
                <w:sz w:val="1"/>
                <w:szCs w:val="1"/>
                <w:color w:val="auto"/>
              </w:rPr>
            </w:pPr>
          </w:p>
        </w:tc>
      </w:tr>
      <w:tr>
        <w:trPr>
          <w:trHeight w:val="25"/>
        </w:trPr>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285,156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285,156</w:t>
            </w:r>
          </w:p>
        </w:tc>
        <w:tc>
          <w:tcPr>
            <w:tcW w:w="0" w:type="dxa"/>
            <w:vAlign w:val="bottom"/>
          </w:tcPr>
          <w:p>
            <w:pPr>
              <w:spacing w:after="0"/>
              <w:rPr>
                <w:sz w:val="1"/>
                <w:szCs w:val="1"/>
                <w:color w:val="auto"/>
              </w:rPr>
            </w:pPr>
          </w:p>
        </w:tc>
      </w:tr>
      <w:tr>
        <w:trPr>
          <w:trHeight w:val="240"/>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 warrant investment</w:t>
            </w:r>
          </w:p>
        </w:tc>
        <w:tc>
          <w:tcPr>
            <w:tcW w:w="3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0" w:type="dxa"/>
            <w:vAlign w:val="bottom"/>
          </w:tcPr>
          <w:p>
            <w:pPr>
              <w:spacing w:after="0"/>
              <w:rPr>
                <w:sz w:val="1"/>
                <w:szCs w:val="1"/>
                <w:color w:val="auto"/>
              </w:rPr>
            </w:pPr>
          </w:p>
        </w:tc>
      </w:tr>
      <w:tr>
        <w:trPr>
          <w:trHeight w:val="25"/>
        </w:trPr>
        <w:tc>
          <w:tcPr>
            <w:tcW w:w="5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1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financial assets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206,245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668,488</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1,067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875,800</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1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Success payment liabilities</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9,486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0" w:type="dxa"/>
            <w:vAlign w:val="bottom"/>
          </w:tcPr>
          <w:p>
            <w:pPr>
              <w:spacing w:after="0"/>
              <w:rPr>
                <w:sz w:val="1"/>
                <w:szCs w:val="1"/>
                <w:color w:val="auto"/>
              </w:rPr>
            </w:pPr>
          </w:p>
        </w:tc>
      </w:tr>
      <w:tr>
        <w:trPr>
          <w:trHeight w:val="258"/>
        </w:trPr>
        <w:tc>
          <w:tcPr>
            <w:tcW w:w="5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9,486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636"/>
        <w:spacing w:after="0" w:line="255" w:lineRule="auto"/>
        <w:rPr>
          <w:sz w:val="20"/>
          <w:szCs w:val="20"/>
          <w:color w:val="auto"/>
        </w:rPr>
      </w:pPr>
      <w:r>
        <w:rPr>
          <w:rFonts w:ascii="Times New Roman" w:cs="Times New Roman" w:eastAsia="Times New Roman" w:hAnsi="Times New Roman"/>
          <w:sz w:val="18"/>
          <w:szCs w:val="18"/>
          <w:color w:val="auto"/>
        </w:rPr>
        <w:t>The Company measures the fair value of money market funds based on quoted prices in active markets for identical assets or liabilities. The Level 2 marketable securities include U.S. Treasury securities, U.S. government agency securities and corporate debt securities. The Company’s Level 2 securities are valued using third-party pricing sources. The pricing services applied industry standard valuation models. Inputs utilized include market pricing based on real-time trade data for the same or similar securities and other significant inputs derived from or corroborated by observable market data.</w:t>
      </w:r>
    </w:p>
    <w:p>
      <w:pPr>
        <w:spacing w:after="0" w:line="74" w:lineRule="exact"/>
        <w:rPr>
          <w:sz w:val="20"/>
          <w:szCs w:val="20"/>
          <w:color w:val="auto"/>
        </w:rPr>
      </w:pPr>
    </w:p>
    <w:p>
      <w:pPr>
        <w:ind w:firstLine="636"/>
        <w:spacing w:after="0" w:line="248" w:lineRule="auto"/>
        <w:rPr>
          <w:sz w:val="20"/>
          <w:szCs w:val="20"/>
          <w:color w:val="auto"/>
        </w:rPr>
      </w:pPr>
      <w:r>
        <w:rPr>
          <w:rFonts w:ascii="Times New Roman" w:cs="Times New Roman" w:eastAsia="Times New Roman" w:hAnsi="Times New Roman"/>
          <w:sz w:val="18"/>
          <w:szCs w:val="18"/>
          <w:color w:val="auto"/>
        </w:rPr>
        <w:t xml:space="preserve">The Level 3 financial instruments include an equity warrant investment and the success payment liabilities. For the year ended December 31, 2022, in conjunction with the impairment of one of the Company’s other investments, the associated equity warrant investment’s fair value was determined to be negligible as of December 31, 2022. The Company reduced the equity warrant investment’s fair value from $1.1 million as of December 31, 2021 to zero as of December 31, 2022. See Note 5, </w:t>
      </w:r>
      <w:r>
        <w:rPr>
          <w:rFonts w:ascii="Times New Roman" w:cs="Times New Roman" w:eastAsia="Times New Roman" w:hAnsi="Times New Roman"/>
          <w:sz w:val="18"/>
          <w:szCs w:val="18"/>
          <w:i w:val="1"/>
          <w:iCs w:val="1"/>
          <w:color w:val="auto"/>
        </w:rPr>
        <w:t>Other Investments</w:t>
      </w:r>
      <w:r>
        <w:rPr>
          <w:rFonts w:ascii="Times New Roman" w:cs="Times New Roman" w:eastAsia="Times New Roman" w:hAnsi="Times New Roman"/>
          <w:sz w:val="18"/>
          <w:szCs w:val="18"/>
          <w:color w:val="auto"/>
        </w:rPr>
        <w:t>, for additional details regarding the impairment of the other investment. The Company’s Level 3 financial instruments are valued using valuation models which include the Black-Scholes model for valuing the equity warrant investment and a Monte Carlo simulation for the success payment liabilities. To determine the estimated fair value of the success payment liabilities, the Company uses a Monte Carlo simulation methodology that models the future movement of stock prices based on several key variables combined with empirical knowledge of the process governing the behavior of the stock price. The following variables were incorporated in the estimated fair value of the success payment liabilities: fair value of the Company’s common stock, expected volatility, the risk-free interest rate and the estimated number and timing of valuation measurement dates on the basis of which payments may be triggered. The computation of expected volatility was estimated based on available information about the historical volatility of stocks of similar publicly traded companies for a period matching the expected term assumption.</w:t>
      </w:r>
    </w:p>
    <w:p>
      <w:pPr>
        <w:spacing w:after="0" w:line="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assumptions were incorporated into the calculation of the estimated fair value of the Fred Hutch success payment liability: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8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tcPr>
          <w:p>
            <w:pPr>
              <w:spacing w:after="0"/>
              <w:rPr>
                <w:sz w:val="16"/>
                <w:szCs w:val="16"/>
                <w:color w:val="auto"/>
              </w:rPr>
            </w:pPr>
          </w:p>
        </w:tc>
      </w:tr>
      <w:tr>
        <w:trPr>
          <w:trHeight w:val="38"/>
        </w:trPr>
        <w:tc>
          <w:tcPr>
            <w:tcW w:w="76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1"/>
        </w:trPr>
        <w:tc>
          <w:tcPr>
            <w:tcW w:w="7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76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8"/>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7.74</w:t>
            </w:r>
          </w:p>
        </w:tc>
      </w:tr>
      <w:tr>
        <w:trPr>
          <w:trHeight w:val="24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 - 4.65%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 - 1.88%</w:t>
            </w:r>
          </w:p>
        </w:tc>
      </w:tr>
      <w:tr>
        <w:trPr>
          <w:trHeight w:val="25"/>
        </w:trPr>
        <w:tc>
          <w:tcPr>
            <w:tcW w:w="7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75.0 %</w:t>
            </w:r>
          </w:p>
        </w:tc>
      </w:tr>
      <w:tr>
        <w:trPr>
          <w:trHeight w:val="24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0.46 - 4.97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0.46 - 5.97</w:t>
            </w:r>
          </w:p>
        </w:tc>
      </w:tr>
    </w:tbl>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assumptions were incorporated into the calculation of the estimated fair value of the Stanford success payment liability:</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tcPr>
          <w:p>
            <w:pPr>
              <w:spacing w:after="0"/>
              <w:rPr>
                <w:sz w:val="16"/>
                <w:szCs w:val="16"/>
                <w:color w:val="auto"/>
              </w:rPr>
            </w:pPr>
          </w:p>
        </w:tc>
      </w:tr>
      <w:tr>
        <w:trPr>
          <w:trHeight w:val="38"/>
        </w:trPr>
        <w:tc>
          <w:tcPr>
            <w:tcW w:w="3740" w:type="dxa"/>
            <w:vAlign w:val="bottom"/>
          </w:tcPr>
          <w:p>
            <w:pPr>
              <w:spacing w:after="0"/>
              <w:rPr>
                <w:sz w:val="3"/>
                <w:szCs w:val="3"/>
                <w:color w:val="auto"/>
              </w:rPr>
            </w:pPr>
          </w:p>
        </w:tc>
        <w:tc>
          <w:tcPr>
            <w:tcW w:w="39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1"/>
        </w:trPr>
        <w:tc>
          <w:tcPr>
            <w:tcW w:w="37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3740" w:type="dxa"/>
            <w:vAlign w:val="bottom"/>
            <w:tcBorders>
              <w:bottom w:val="single" w:sz="8" w:color="CCEEFF"/>
            </w:tcBorders>
          </w:tcPr>
          <w:p>
            <w:pPr>
              <w:spacing w:after="0"/>
              <w:rPr>
                <w:sz w:val="3"/>
                <w:szCs w:val="3"/>
                <w:color w:val="auto"/>
              </w:rPr>
            </w:pPr>
          </w:p>
        </w:tc>
        <w:tc>
          <w:tcPr>
            <w:tcW w:w="39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4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7.74</w:t>
            </w:r>
          </w:p>
        </w:tc>
      </w:tr>
      <w:tr>
        <w:trPr>
          <w:trHeight w:val="23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 - 4.65%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 - 1.88%</w:t>
            </w:r>
          </w:p>
        </w:tc>
      </w:tr>
      <w:tr>
        <w:trPr>
          <w:trHeight w:val="26"/>
        </w:trPr>
        <w:tc>
          <w:tcPr>
            <w:tcW w:w="37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75.0 %</w:t>
            </w:r>
          </w:p>
        </w:tc>
      </w:tr>
      <w:tr>
        <w:trPr>
          <w:trHeight w:val="23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3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0.46 - 6.75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0.46 - 7.75</w:t>
            </w:r>
          </w:p>
        </w:tc>
      </w:tr>
      <w:tr>
        <w:trPr>
          <w:trHeight w:val="914"/>
        </w:trPr>
        <w:tc>
          <w:tcPr>
            <w:tcW w:w="3740" w:type="dxa"/>
            <w:vAlign w:val="bottom"/>
          </w:tcPr>
          <w:p>
            <w:pPr>
              <w:spacing w:after="0"/>
              <w:rPr>
                <w:sz w:val="24"/>
                <w:szCs w:val="24"/>
                <w:color w:val="auto"/>
              </w:rPr>
            </w:pPr>
          </w:p>
        </w:tc>
        <w:tc>
          <w:tcPr>
            <w:tcW w:w="3900" w:type="dxa"/>
            <w:vAlign w:val="bottom"/>
          </w:tcPr>
          <w:p>
            <w:pPr>
              <w:jc w:val="right"/>
              <w:ind w:right="1792"/>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2"/>
        </w:trPr>
        <w:tc>
          <w:tcPr>
            <w:tcW w:w="3740" w:type="dxa"/>
            <w:vAlign w:val="bottom"/>
            <w:tcBorders>
              <w:bottom w:val="single" w:sz="8" w:color="9A9A9A"/>
            </w:tcBorders>
          </w:tcPr>
          <w:p>
            <w:pPr>
              <w:spacing w:after="0"/>
              <w:rPr>
                <w:sz w:val="9"/>
                <w:szCs w:val="9"/>
                <w:color w:val="auto"/>
              </w:rPr>
            </w:pPr>
          </w:p>
        </w:tc>
        <w:tc>
          <w:tcPr>
            <w:tcW w:w="39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Lyell Immunopharma,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23" w:lineRule="exact"/>
        <w:rPr>
          <w:sz w:val="20"/>
          <w:szCs w:val="20"/>
          <w:color w:val="auto"/>
        </w:rPr>
      </w:pPr>
    </w:p>
    <w:p>
      <w:pPr>
        <w:ind w:right="80" w:firstLine="636"/>
        <w:spacing w:after="0" w:line="259" w:lineRule="auto"/>
        <w:rPr>
          <w:sz w:val="20"/>
          <w:szCs w:val="20"/>
          <w:color w:val="auto"/>
        </w:rPr>
      </w:pPr>
      <w:r>
        <w:rPr>
          <w:rFonts w:ascii="Times New Roman" w:cs="Times New Roman" w:eastAsia="Times New Roman" w:hAnsi="Times New Roman"/>
          <w:sz w:val="18"/>
          <w:szCs w:val="18"/>
          <w:color w:val="auto"/>
        </w:rPr>
        <w:t>The Company utilizes estimates and assumptions in determining the estimated success payment liabilities and associated expense. A small change in the valuation of the Company’s common stock may have a relatively large change in the estimated fair value of the success payment liability and associated expense.</w:t>
      </w:r>
    </w:p>
    <w:p>
      <w:pPr>
        <w:spacing w:after="0" w:line="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Company’s Level 3 financial assets and liabilities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Equity Warrant</w:t>
            </w:r>
          </w:p>
        </w:tc>
        <w:tc>
          <w:tcPr>
            <w:tcW w:w="160" w:type="dxa"/>
            <w:vAlign w:val="bottom"/>
          </w:tcPr>
          <w:p>
            <w:pPr>
              <w:spacing w:after="0"/>
              <w:rPr>
                <w:sz w:val="14"/>
                <w:szCs w:val="14"/>
                <w:color w:val="auto"/>
              </w:rPr>
            </w:pPr>
          </w:p>
        </w:tc>
        <w:tc>
          <w:tcPr>
            <w:tcW w:w="13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Success Payment</w:t>
            </w: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6"/>
                <w:szCs w:val="16"/>
                <w:color w:val="auto"/>
              </w:rPr>
            </w:pPr>
          </w:p>
        </w:tc>
        <w:tc>
          <w:tcPr>
            <w:tcW w:w="13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38"/>
        </w:trPr>
        <w:tc>
          <w:tcPr>
            <w:tcW w:w="81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center"/>
              <w:ind w:left="717"/>
              <w:spacing w:after="0"/>
              <w:rPr>
                <w:sz w:val="20"/>
                <w:szCs w:val="20"/>
                <w:color w:val="auto"/>
              </w:rPr>
            </w:pPr>
            <w:r>
              <w:rPr>
                <w:rFonts w:ascii="Times New Roman" w:cs="Times New Roman" w:eastAsia="Times New Roman" w:hAnsi="Times New Roman"/>
                <w:sz w:val="18"/>
                <w:szCs w:val="18"/>
                <w:color w:val="auto"/>
                <w:w w:val="98"/>
              </w:rPr>
              <w:t>5,773</w:t>
            </w:r>
          </w:p>
        </w:tc>
        <w:tc>
          <w:tcPr>
            <w:tcW w:w="0" w:type="dxa"/>
            <w:vAlign w:val="bottom"/>
          </w:tcPr>
          <w:p>
            <w:pPr>
              <w:spacing w:after="0"/>
              <w:rPr>
                <w:sz w:val="1"/>
                <w:szCs w:val="1"/>
                <w:color w:val="auto"/>
              </w:rPr>
            </w:pPr>
          </w:p>
        </w:tc>
      </w:tr>
      <w:tr>
        <w:trPr>
          <w:trHeight w:val="265"/>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 xml:space="preserve">Change in fair value </w:t>
            </w:r>
            <w:r>
              <w:rPr>
                <w:rFonts w:ascii="Times New Roman" w:cs="Times New Roman" w:eastAsia="Times New Roman" w:hAnsi="Times New Roman"/>
                <w:sz w:val="22"/>
                <w:szCs w:val="22"/>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center"/>
              <w:ind w:left="717"/>
              <w:spacing w:after="0"/>
              <w:rPr>
                <w:sz w:val="20"/>
                <w:szCs w:val="20"/>
                <w:color w:val="auto"/>
              </w:rPr>
            </w:pPr>
            <w:r>
              <w:rPr>
                <w:rFonts w:ascii="Times New Roman" w:cs="Times New Roman" w:eastAsia="Times New Roman" w:hAnsi="Times New Roman"/>
                <w:sz w:val="18"/>
                <w:szCs w:val="18"/>
                <w:color w:val="auto"/>
                <w:w w:val="98"/>
              </w:rPr>
              <w:t>3,713</w:t>
            </w:r>
          </w:p>
        </w:tc>
        <w:tc>
          <w:tcPr>
            <w:tcW w:w="0" w:type="dxa"/>
            <w:vAlign w:val="bottom"/>
          </w:tcPr>
          <w:p>
            <w:pPr>
              <w:spacing w:after="0"/>
              <w:rPr>
                <w:sz w:val="1"/>
                <w:szCs w:val="1"/>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center"/>
              <w:ind w:left="717"/>
              <w:spacing w:after="0"/>
              <w:rPr>
                <w:sz w:val="20"/>
                <w:szCs w:val="20"/>
                <w:color w:val="auto"/>
              </w:rPr>
            </w:pPr>
            <w:r>
              <w:rPr>
                <w:rFonts w:ascii="Times New Roman" w:cs="Times New Roman" w:eastAsia="Times New Roman" w:hAnsi="Times New Roman"/>
                <w:sz w:val="18"/>
                <w:szCs w:val="18"/>
                <w:color w:val="auto"/>
                <w:w w:val="98"/>
              </w:rPr>
              <w:t>9,486</w:t>
            </w:r>
          </w:p>
        </w:tc>
        <w:tc>
          <w:tcPr>
            <w:tcW w:w="0" w:type="dxa"/>
            <w:vAlign w:val="bottom"/>
          </w:tcPr>
          <w:p>
            <w:pPr>
              <w:spacing w:after="0"/>
              <w:rPr>
                <w:sz w:val="1"/>
                <w:szCs w:val="1"/>
                <w:color w:val="auto"/>
              </w:rPr>
            </w:pPr>
          </w:p>
        </w:tc>
      </w:tr>
      <w:tr>
        <w:trPr>
          <w:trHeight w:val="265"/>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 xml:space="preserve">Change in fair value </w:t>
            </w:r>
            <w:r>
              <w:rPr>
                <w:rFonts w:ascii="Times New Roman" w:cs="Times New Roman" w:eastAsia="Times New Roman" w:hAnsi="Times New Roman"/>
                <w:sz w:val="22"/>
                <w:szCs w:val="22"/>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center"/>
              <w:ind w:left="677"/>
              <w:spacing w:after="0"/>
              <w:rPr>
                <w:sz w:val="20"/>
                <w:szCs w:val="20"/>
                <w:color w:val="auto"/>
              </w:rPr>
            </w:pPr>
            <w:r>
              <w:rPr>
                <w:rFonts w:ascii="Times New Roman" w:cs="Times New Roman" w:eastAsia="Times New Roman" w:hAnsi="Times New Roman"/>
                <w:sz w:val="18"/>
                <w:szCs w:val="18"/>
                <w:color w:val="auto"/>
                <w:w w:val="98"/>
              </w:rPr>
              <w:t>(5,130)</w:t>
            </w:r>
          </w:p>
        </w:tc>
        <w:tc>
          <w:tcPr>
            <w:tcW w:w="0" w:type="dxa"/>
            <w:vAlign w:val="bottom"/>
          </w:tcPr>
          <w:p>
            <w:pPr>
              <w:spacing w:after="0"/>
              <w:rPr>
                <w:sz w:val="1"/>
                <w:szCs w:val="1"/>
                <w:color w:val="auto"/>
              </w:rPr>
            </w:pPr>
          </w:p>
        </w:tc>
      </w:tr>
      <w:tr>
        <w:trPr>
          <w:trHeight w:val="27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center"/>
              <w:ind w:left="717"/>
              <w:spacing w:after="0"/>
              <w:rPr>
                <w:sz w:val="20"/>
                <w:szCs w:val="20"/>
                <w:color w:val="auto"/>
              </w:rPr>
            </w:pPr>
            <w:r>
              <w:rPr>
                <w:rFonts w:ascii="Times New Roman" w:cs="Times New Roman" w:eastAsia="Times New Roman" w:hAnsi="Times New Roman"/>
                <w:sz w:val="18"/>
                <w:szCs w:val="18"/>
                <w:color w:val="auto"/>
                <w:w w:val="98"/>
              </w:rPr>
              <w:t>4,356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818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480" w:right="420" w:hanging="474"/>
        <w:spacing w:after="0" w:line="267" w:lineRule="auto"/>
        <w:tabs>
          <w:tab w:leader="none" w:pos="47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changes in fair value associated with the equity warrant investment held are recorded in other income (expense), net and the changes in fair value associated with success payment liabilities are recorded in research and development expense.</w:t>
      </w:r>
    </w:p>
    <w:p>
      <w:pPr>
        <w:spacing w:after="0" w:line="79" w:lineRule="exact"/>
        <w:rPr>
          <w:sz w:val="20"/>
          <w:szCs w:val="20"/>
          <w:color w:val="auto"/>
        </w:rPr>
      </w:pPr>
    </w:p>
    <w:p>
      <w:pPr>
        <w:ind w:firstLine="636"/>
        <w:spacing w:after="0" w:line="250" w:lineRule="auto"/>
        <w:rPr>
          <w:sz w:val="20"/>
          <w:szCs w:val="20"/>
          <w:color w:val="auto"/>
        </w:rPr>
      </w:pPr>
      <w:r>
        <w:rPr>
          <w:rFonts w:ascii="Times New Roman" w:cs="Times New Roman" w:eastAsia="Times New Roman" w:hAnsi="Times New Roman"/>
          <w:sz w:val="18"/>
          <w:szCs w:val="18"/>
          <w:color w:val="auto"/>
        </w:rPr>
        <w:t xml:space="preserve">In October 2022, the Company received non-voting series D preferred stock pursuant to the settlement agreement with PACT (See Note 3, </w:t>
      </w:r>
      <w:r>
        <w:rPr>
          <w:rFonts w:ascii="Times New Roman" w:cs="Times New Roman" w:eastAsia="Times New Roman" w:hAnsi="Times New Roman"/>
          <w:sz w:val="18"/>
          <w:szCs w:val="18"/>
          <w:i w:val="1"/>
          <w:iCs w:val="1"/>
          <w:color w:val="auto"/>
        </w:rPr>
        <w:t>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Collaboration and Success Payment Agreements</w:t>
      </w:r>
      <w:r>
        <w:rPr>
          <w:rFonts w:ascii="Times New Roman" w:cs="Times New Roman" w:eastAsia="Times New Roman" w:hAnsi="Times New Roman"/>
          <w:sz w:val="18"/>
          <w:szCs w:val="18"/>
          <w:color w:val="auto"/>
        </w:rPr>
        <w:t>). The Company determined the fair value of PACT was a fraction of the aggregate liquidation preference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PACT Series D preferred stock. The Company determined that the fair value of its investment in PACT preferred stock is approximated by the fair value of the PACT business since the Company is the only party invested in PACT preferred stock series D as of October 1, 2022, the most senior class of stock issued by PACT. The fair value of PACT was estimated at $2.9 million as of October 1, 2022 using the cost approach. Under this approach, the fair value of an asset is measured by the cost to reconstruct or replace such asset with another one of like utility. The fair value of PACT was estimated by using significant unobservable inputs, including an estimate of insignificant fair value associated with PACT intangible assets. Accordingly, the Company classified the fair value measurement of PACT preferred stock on October 1, 2022 as Level 3 under the fair value hierarchy.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 Net</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1"/>
        </w:trPr>
        <w:tc>
          <w:tcPr>
            <w:tcW w:w="8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8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116,930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95,001</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27,039</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10,577</w:t>
            </w:r>
          </w:p>
        </w:tc>
      </w:tr>
      <w:tr>
        <w:trPr>
          <w:trHeight w:val="233"/>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155,407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134,611</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(14,513)</w:t>
            </w:r>
          </w:p>
        </w:tc>
      </w:tr>
      <w:tr>
        <w:trPr>
          <w:trHeight w:val="258"/>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123,023</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120,098</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260" w:firstLine="636"/>
        <w:spacing w:after="0" w:line="274" w:lineRule="auto"/>
        <w:rPr>
          <w:sz w:val="20"/>
          <w:szCs w:val="20"/>
          <w:color w:val="auto"/>
        </w:rPr>
      </w:pPr>
      <w:r>
        <w:rPr>
          <w:rFonts w:ascii="Times New Roman" w:cs="Times New Roman" w:eastAsia="Times New Roman" w:hAnsi="Times New Roman"/>
          <w:sz w:val="18"/>
          <w:szCs w:val="18"/>
          <w:color w:val="auto"/>
        </w:rPr>
        <w:t>Depreciation and amortization expense was $18.0 million, $13.5 million and $4.2 million for the years ended December 31, 2022, 2021 and 2020, respectively.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Lyell Immunopharma,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Liabilities and Other Current Liabilities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Accrued liabilities and other current liabilities consisted of the following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38"/>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1"/>
        </w:trPr>
        <w:tc>
          <w:tcPr>
            <w:tcW w:w="8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900" w:type="dxa"/>
            <w:vAlign w:val="bottom"/>
            <w:tcBorders>
              <w:bottom w:val="single" w:sz="8" w:color="CCEEFF"/>
            </w:tcBorders>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17,296</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property and equipment</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w:t>
            </w:r>
          </w:p>
        </w:tc>
      </w:tr>
      <w:tr>
        <w:trPr>
          <w:trHeight w:val="25"/>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legal</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r>
      <w:tr>
        <w:trPr>
          <w:trHeight w:val="26"/>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r>
      <w:tr>
        <w:trPr>
          <w:trHeight w:val="26"/>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3"/>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accrued liabilities and other current liabilities</w:t>
            </w:r>
          </w:p>
        </w:tc>
        <w:tc>
          <w:tcPr>
            <w:tcW w:w="900" w:type="dxa"/>
            <w:vAlign w:val="bottom"/>
            <w:tcBorders>
              <w:bottom w:val="single" w:sz="8" w:color="auto"/>
            </w:tcBorders>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28,755</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13" w:lineRule="exact"/>
        <w:rPr>
          <w:sz w:val="20"/>
          <w:szCs w:val="20"/>
          <w:color w:val="auto"/>
        </w:rPr>
      </w:pPr>
    </w:p>
    <w:p>
      <w:pPr>
        <w:ind w:right="80" w:firstLine="636"/>
        <w:spacing w:after="0" w:line="255" w:lineRule="auto"/>
        <w:rPr>
          <w:sz w:val="20"/>
          <w:szCs w:val="20"/>
          <w:color w:val="auto"/>
        </w:rPr>
      </w:pPr>
      <w:r>
        <w:rPr>
          <w:rFonts w:ascii="Times New Roman" w:cs="Times New Roman" w:eastAsia="Times New Roman" w:hAnsi="Times New Roman"/>
          <w:sz w:val="18"/>
          <w:szCs w:val="18"/>
          <w:color w:val="auto"/>
        </w:rPr>
        <w:t>The Company’s lease portfolio is comprised of operating leases for laboratory, office and manufacturing facilities located in South San Francisco, California, and Seattle and Bothell, Washington with contractual periods expiring between December 2028 and March 2031. In addition to minimum rent, the leases require payment of real estate taxes, insurance, common area maintenance charges and other executory costs. These additional charges are considered variable lease costs and are recognized in the period in which the costs are incurred.</w:t>
      </w:r>
    </w:p>
    <w:p>
      <w:pPr>
        <w:spacing w:after="0" w:line="74" w:lineRule="exact"/>
        <w:rPr>
          <w:sz w:val="20"/>
          <w:szCs w:val="20"/>
          <w:color w:val="auto"/>
        </w:rPr>
      </w:pPr>
    </w:p>
    <w:p>
      <w:pPr>
        <w:ind w:right="340" w:firstLine="636"/>
        <w:spacing w:after="0" w:line="304" w:lineRule="auto"/>
        <w:rPr>
          <w:sz w:val="20"/>
          <w:szCs w:val="20"/>
          <w:color w:val="auto"/>
        </w:rPr>
      </w:pPr>
      <w:r>
        <w:rPr>
          <w:rFonts w:ascii="Times New Roman" w:cs="Times New Roman" w:eastAsia="Times New Roman" w:hAnsi="Times New Roman"/>
          <w:sz w:val="17"/>
          <w:szCs w:val="17"/>
          <w:color w:val="auto"/>
        </w:rPr>
        <w:t>In 2018, the Company entered into an operating lease for approximately 34,000 square feet of office and laboratory space in Seattle, Washington, with an initial lease term expiring in December 2028. The Company has two five-year options to extend the lease, which are not reasonably assured.</w:t>
      </w:r>
    </w:p>
    <w:p>
      <w:pPr>
        <w:spacing w:after="0" w:line="35" w:lineRule="exact"/>
        <w:rPr>
          <w:sz w:val="20"/>
          <w:szCs w:val="20"/>
          <w:color w:val="auto"/>
        </w:rPr>
      </w:pPr>
    </w:p>
    <w:p>
      <w:pPr>
        <w:jc w:val="both"/>
        <w:ind w:right="280" w:firstLine="636"/>
        <w:spacing w:after="0" w:line="268" w:lineRule="auto"/>
        <w:rPr>
          <w:sz w:val="20"/>
          <w:szCs w:val="20"/>
          <w:color w:val="auto"/>
        </w:rPr>
      </w:pPr>
      <w:r>
        <w:rPr>
          <w:rFonts w:ascii="Times New Roman" w:cs="Times New Roman" w:eastAsia="Times New Roman" w:hAnsi="Times New Roman"/>
          <w:sz w:val="17"/>
          <w:szCs w:val="17"/>
          <w:color w:val="auto"/>
        </w:rPr>
        <w:t>In 2019, the Company entered into an operating lease for approximately 34,000 square feet of office and laboratory space in South San Francisco, California. In December 2020, the Company exercised its early termination right and remeasured the remaining consideration in the contract, resulting in a gain of $2.9 million, which was recognized in other operating income, net. The lease termination was effective October 2021, resulting in a gain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 million, which was recognized in other operating income, net for the year ended December 31, 2021. Additionally, the Company recognized a loss of</w:t>
      </w:r>
    </w:p>
    <w:p>
      <w:pPr>
        <w:spacing w:after="0" w:line="5"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$0.6 million at lease termination on leasehold improvements unable to be moved to its new corporate headquarters in South San Francisco, California, which was recognized in other operating income, net for the year ended December 31, 2021.</w:t>
      </w:r>
    </w:p>
    <w:p>
      <w:pPr>
        <w:spacing w:after="0" w:line="78" w:lineRule="exact"/>
        <w:rPr>
          <w:sz w:val="20"/>
          <w:szCs w:val="20"/>
          <w:color w:val="auto"/>
        </w:rPr>
      </w:pPr>
    </w:p>
    <w:p>
      <w:pPr>
        <w:ind w:right="60" w:firstLine="636"/>
        <w:spacing w:after="0" w:line="259" w:lineRule="auto"/>
        <w:rPr>
          <w:sz w:val="20"/>
          <w:szCs w:val="20"/>
          <w:color w:val="auto"/>
        </w:rPr>
      </w:pPr>
      <w:r>
        <w:rPr>
          <w:rFonts w:ascii="Times New Roman" w:cs="Times New Roman" w:eastAsia="Times New Roman" w:hAnsi="Times New Roman"/>
          <w:sz w:val="18"/>
          <w:szCs w:val="18"/>
          <w:color w:val="auto"/>
        </w:rPr>
        <w:t>In 2019, the Company entered into two operating lease agreements for a combined approximately 73,000 square feet of space to develop a cell therapy manufacturing facility located in Bothell, Washington, with initial terms expiring in May 2030. The Company has two 90-month options to extend the leases, which are not reasonably assured.</w:t>
      </w:r>
    </w:p>
    <w:p>
      <w:pPr>
        <w:spacing w:after="0" w:line="72" w:lineRule="exact"/>
        <w:rPr>
          <w:sz w:val="20"/>
          <w:szCs w:val="20"/>
          <w:color w:val="auto"/>
        </w:rPr>
      </w:pPr>
    </w:p>
    <w:p>
      <w:pPr>
        <w:ind w:firstLine="636"/>
        <w:spacing w:after="0" w:line="255" w:lineRule="auto"/>
        <w:rPr>
          <w:sz w:val="20"/>
          <w:szCs w:val="20"/>
          <w:color w:val="auto"/>
        </w:rPr>
      </w:pPr>
      <w:r>
        <w:rPr>
          <w:rFonts w:ascii="Times New Roman" w:cs="Times New Roman" w:eastAsia="Times New Roman" w:hAnsi="Times New Roman"/>
          <w:sz w:val="18"/>
          <w:szCs w:val="18"/>
          <w:color w:val="auto"/>
        </w:rPr>
        <w:t>In 2019, the Company entered into an operating lease agreement for approximately 108,000 square feet of office and laboratory space located in South San Francisco, California. The initial lease term expires in January 2031 with the option to extend the term for another 10 years, which is not reasonably assured. In January 2021, the Company amended the lease term to extend the lease expiration to March 2031, which resulted in an increase to the right-of-use asset and lease liability of $4.2 million.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Lyell Immunopharma,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23" w:lineRule="exact"/>
        <w:rPr>
          <w:sz w:val="20"/>
          <w:szCs w:val="20"/>
          <w:color w:val="auto"/>
        </w:rPr>
      </w:pPr>
    </w:p>
    <w:p>
      <w:pPr>
        <w:ind w:right="40" w:firstLine="636"/>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Company’s future minimum operating lease commitments, including expected lease incentives to be received, as of December 31, 2022 (in thousands):</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9760" w:type="dxa"/>
            <w:vAlign w:val="bottom"/>
            <w:tcBorders>
              <w:top w:val="single" w:sz="8" w:color="auto"/>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Borders>
              <w:top w:val="single" w:sz="8" w:color="auto"/>
              <w:bottom w:val="single" w:sz="8" w:color="CCEEFF"/>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10,101</w:t>
            </w:r>
          </w:p>
        </w:tc>
      </w:tr>
      <w:tr>
        <w:trPr>
          <w:trHeight w:val="240"/>
        </w:trPr>
        <w:tc>
          <w:tcPr>
            <w:tcW w:w="9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11,347</w:t>
            </w:r>
          </w:p>
        </w:tc>
      </w:tr>
      <w:tr>
        <w:trPr>
          <w:trHeight w:val="25"/>
        </w:trPr>
        <w:tc>
          <w:tcPr>
            <w:tcW w:w="9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5"/>
        </w:trPr>
        <w:tc>
          <w:tcPr>
            <w:tcW w:w="9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11,859</w:t>
            </w:r>
          </w:p>
        </w:tc>
      </w:tr>
      <w:tr>
        <w:trPr>
          <w:trHeight w:val="240"/>
        </w:trPr>
        <w:tc>
          <w:tcPr>
            <w:tcW w:w="9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12,209</w:t>
            </w:r>
          </w:p>
        </w:tc>
      </w:tr>
      <w:tr>
        <w:trPr>
          <w:trHeight w:val="25"/>
        </w:trPr>
        <w:tc>
          <w:tcPr>
            <w:tcW w:w="9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5"/>
        </w:trPr>
        <w:tc>
          <w:tcPr>
            <w:tcW w:w="9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12,569</w:t>
            </w:r>
          </w:p>
        </w:tc>
      </w:tr>
      <w:tr>
        <w:trPr>
          <w:trHeight w:val="240"/>
        </w:trPr>
        <w:tc>
          <w:tcPr>
            <w:tcW w:w="9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35,525</w:t>
            </w:r>
          </w:p>
        </w:tc>
      </w:tr>
      <w:tr>
        <w:trPr>
          <w:trHeight w:val="25"/>
        </w:trPr>
        <w:tc>
          <w:tcPr>
            <w:tcW w:w="97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93,610</w:t>
            </w:r>
          </w:p>
        </w:tc>
      </w:tr>
      <w:tr>
        <w:trPr>
          <w:trHeight w:val="23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(25,908)</w:t>
            </w:r>
          </w:p>
        </w:tc>
      </w:tr>
      <w:tr>
        <w:trPr>
          <w:trHeight w:val="26"/>
        </w:trPr>
        <w:tc>
          <w:tcPr>
            <w:tcW w:w="97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3"/>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67,702</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9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5"/>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Reported as of December 31, 2022:</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portion of lease liabilities (included in accrued liabilities and other current liabilities)</w:t>
            </w: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w:t>
            </w:r>
          </w:p>
        </w:tc>
      </w:tr>
      <w:tr>
        <w:trPr>
          <w:trHeight w:val="25"/>
        </w:trPr>
        <w:tc>
          <w:tcPr>
            <w:tcW w:w="9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5"/>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63,168</w:t>
            </w:r>
          </w:p>
        </w:tc>
      </w:tr>
      <w:tr>
        <w:trPr>
          <w:trHeight w:val="258"/>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67,702</w:t>
            </w:r>
          </w:p>
        </w:tc>
      </w:tr>
      <w:tr>
        <w:trPr>
          <w:trHeight w:val="20"/>
        </w:trPr>
        <w:tc>
          <w:tcPr>
            <w:tcW w:w="9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80" w:firstLine="636"/>
        <w:spacing w:after="0" w:line="252" w:lineRule="auto"/>
        <w:rPr>
          <w:sz w:val="20"/>
          <w:szCs w:val="20"/>
          <w:color w:val="auto"/>
        </w:rPr>
      </w:pPr>
      <w:r>
        <w:rPr>
          <w:rFonts w:ascii="Times New Roman" w:cs="Times New Roman" w:eastAsia="Times New Roman" w:hAnsi="Times New Roman"/>
          <w:sz w:val="18"/>
          <w:szCs w:val="18"/>
          <w:color w:val="auto"/>
        </w:rPr>
        <w:t xml:space="preserve">The operating lease costs for all operating leases were $9.3 million, $9.4 million and $11.2 million for the years ended December 31, 2022, 2021 and 2020, respectively. The operating lease costs and total commitments for short-term leases were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for the years ended December 31, 2022, 2021 and 2020. Variable lease costs for operating leases were $5.1 million, $4.1 million and $2.1 million for the years ended December 31, 2022, 2021 and 2020, respectively. The weighted-average remaining lease terms for operating leases were 7.8 and 8.8 years as of December 31, 2022 and 2021, respectively. The weighted-average discount rates for operating leases were 8.5% and 8.4% as of December 31, 2022 and 2021, respectively.</w:t>
      </w:r>
    </w:p>
    <w:p>
      <w:pPr>
        <w:spacing w:after="0" w:line="79" w:lineRule="exact"/>
        <w:rPr>
          <w:sz w:val="20"/>
          <w:szCs w:val="20"/>
          <w:color w:val="auto"/>
        </w:rPr>
      </w:pPr>
    </w:p>
    <w:p>
      <w:pPr>
        <w:ind w:right="100" w:firstLine="636"/>
        <w:spacing w:after="0" w:line="259" w:lineRule="auto"/>
        <w:rPr>
          <w:sz w:val="20"/>
          <w:szCs w:val="20"/>
          <w:color w:val="auto"/>
        </w:rPr>
      </w:pPr>
      <w:r>
        <w:rPr>
          <w:rFonts w:ascii="Times New Roman" w:cs="Times New Roman" w:eastAsia="Times New Roman" w:hAnsi="Times New Roman"/>
          <w:sz w:val="18"/>
          <w:szCs w:val="18"/>
          <w:color w:val="auto"/>
        </w:rPr>
        <w:t>In May 2021, the Company entered into a sublease, whereby the Company agreed to sublease approximately 11,000 square feet of its space in South San Francisco, California currently leased by the Company. The sublease is classified as an operating lease and will expire in March 2031. The Company recognized sublease income for this sublease of $0.8 million and $0.4 million for the years ended December 31, 2022 and 2021, respectively.</w:t>
      </w:r>
    </w:p>
    <w:p>
      <w:pPr>
        <w:spacing w:after="0" w:line="72" w:lineRule="exact"/>
        <w:rPr>
          <w:sz w:val="20"/>
          <w:szCs w:val="20"/>
          <w:color w:val="auto"/>
        </w:rPr>
      </w:pPr>
    </w:p>
    <w:p>
      <w:pPr>
        <w:ind w:right="20" w:firstLine="636"/>
        <w:spacing w:after="0" w:line="252" w:lineRule="auto"/>
        <w:rPr>
          <w:sz w:val="20"/>
          <w:szCs w:val="20"/>
          <w:color w:val="auto"/>
        </w:rPr>
      </w:pPr>
      <w:r>
        <w:rPr>
          <w:rFonts w:ascii="Times New Roman" w:cs="Times New Roman" w:eastAsia="Times New Roman" w:hAnsi="Times New Roman"/>
          <w:sz w:val="18"/>
          <w:szCs w:val="18"/>
          <w:color w:val="auto"/>
        </w:rPr>
        <w:t xml:space="preserve">In September 2021, the Company entered into a sublease with Sonoma Biotherapeutics, Inc. (“Sonoma”), a related party, whereby the Company agreed to sublease approximately 18,000 square feet of space in South San Francisco, California currently leased by the Company. See Note 17, </w:t>
      </w:r>
      <w:r>
        <w:rPr>
          <w:rFonts w:ascii="Times New Roman" w:cs="Times New Roman" w:eastAsia="Times New Roman" w:hAnsi="Times New Roman"/>
          <w:sz w:val="18"/>
          <w:szCs w:val="18"/>
          <w:i w:val="1"/>
          <w:iCs w:val="1"/>
          <w:color w:val="auto"/>
        </w:rPr>
        <w:t>Related-Party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As a part of the sublease, in September 2021, the Company received a $4.6 million tenant improvement contribution payment, which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over the term of the sublease. The sublease is classified as an operating lease and will expire in March 2031. The Company recognized Sonoma sublease income of $1.9 million and $0.6 million for the years ended December 31, 2022 and 2021, respectively.</w:t>
      </w:r>
    </w:p>
    <w:p>
      <w:pPr>
        <w:spacing w:after="0" w:line="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Company’s sublease income is recognized within other operating income, net in the Consolidated Statements of Operations and Comprehensive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Convertible Preferred Stock</w:t>
      </w:r>
    </w:p>
    <w:p>
      <w:pPr>
        <w:spacing w:after="0" w:line="113" w:lineRule="exact"/>
        <w:rPr>
          <w:sz w:val="20"/>
          <w:szCs w:val="20"/>
          <w:color w:val="auto"/>
        </w:rPr>
      </w:pPr>
    </w:p>
    <w:p>
      <w:pPr>
        <w:ind w:right="660" w:firstLine="636"/>
        <w:spacing w:after="0" w:line="274" w:lineRule="auto"/>
        <w:rPr>
          <w:sz w:val="20"/>
          <w:szCs w:val="20"/>
          <w:color w:val="auto"/>
        </w:rPr>
      </w:pPr>
      <w:r>
        <w:rPr>
          <w:rFonts w:ascii="Times New Roman" w:cs="Times New Roman" w:eastAsia="Times New Roman" w:hAnsi="Times New Roman"/>
          <w:sz w:val="18"/>
          <w:szCs w:val="18"/>
          <w:color w:val="auto"/>
        </w:rPr>
        <w:t>In March 2020, the Company sold 42,905,042 shares of its Series C convertible preferred stock at a price of $11.49 per share for proceeds of $492.5 million, net of issuance costs of $0.5 million.</w:t>
      </w:r>
    </w:p>
    <w:p>
      <w:pPr>
        <w:spacing w:after="0" w:line="57" w:lineRule="exact"/>
        <w:rPr>
          <w:sz w:val="20"/>
          <w:szCs w:val="20"/>
          <w:color w:val="auto"/>
        </w:rPr>
      </w:pPr>
    </w:p>
    <w:p>
      <w:pPr>
        <w:ind w:right="460" w:firstLine="636"/>
        <w:spacing w:after="0" w:line="274" w:lineRule="auto"/>
        <w:rPr>
          <w:sz w:val="20"/>
          <w:szCs w:val="20"/>
          <w:color w:val="auto"/>
        </w:rPr>
      </w:pPr>
      <w:r>
        <w:rPr>
          <w:rFonts w:ascii="Times New Roman" w:cs="Times New Roman" w:eastAsia="Times New Roman" w:hAnsi="Times New Roman"/>
          <w:sz w:val="18"/>
          <w:szCs w:val="18"/>
          <w:color w:val="auto"/>
        </w:rPr>
        <w:t>In March 2020, the Company repurchased 546,806 shares of its Series A convertible preferred stock from a related party for a purchase price of $4.2 million.</w:t>
      </w:r>
    </w:p>
    <w:p>
      <w:pPr>
        <w:spacing w:after="0" w:line="57" w:lineRule="exact"/>
        <w:rPr>
          <w:sz w:val="20"/>
          <w:szCs w:val="20"/>
          <w:color w:val="auto"/>
        </w:rPr>
      </w:pPr>
    </w:p>
    <w:p>
      <w:pPr>
        <w:ind w:right="660" w:firstLine="636"/>
        <w:spacing w:after="0" w:line="274" w:lineRule="auto"/>
        <w:rPr>
          <w:sz w:val="20"/>
          <w:szCs w:val="20"/>
          <w:color w:val="auto"/>
        </w:rPr>
      </w:pPr>
      <w:r>
        <w:rPr>
          <w:rFonts w:ascii="Times New Roman" w:cs="Times New Roman" w:eastAsia="Times New Roman" w:hAnsi="Times New Roman"/>
          <w:sz w:val="18"/>
          <w:szCs w:val="18"/>
          <w:color w:val="auto"/>
        </w:rPr>
        <w:t>Upon the closing of the IPO, 194,474,431 shares of convertible preferred stock then outstanding converted into an equal number of shares of common stock. As of December 31, 2022, no shares of convertible preferred stock were outstanding.</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Lyell Immunopharma,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15" w:lineRule="exact"/>
        <w:rPr>
          <w:sz w:val="20"/>
          <w:szCs w:val="20"/>
          <w:color w:val="auto"/>
        </w:rPr>
      </w:pPr>
    </w:p>
    <w:p>
      <w:pPr>
        <w:ind w:right="20" w:firstLine="636"/>
        <w:spacing w:after="0" w:line="274" w:lineRule="auto"/>
        <w:rPr>
          <w:sz w:val="20"/>
          <w:szCs w:val="20"/>
          <w:color w:val="auto"/>
        </w:rPr>
      </w:pPr>
      <w:r>
        <w:rPr>
          <w:rFonts w:ascii="Times New Roman" w:cs="Times New Roman" w:eastAsia="Times New Roman" w:hAnsi="Times New Roman"/>
          <w:sz w:val="18"/>
          <w:szCs w:val="18"/>
          <w:color w:val="auto"/>
        </w:rPr>
        <w:t>The Company is authorized to issue 10.0 million shares of preferred stock with a par value $0.0001 per share. As of December 31, 2022 and 2021, no shares of preferred stock were outstanding.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15" w:lineRule="exact"/>
        <w:rPr>
          <w:sz w:val="20"/>
          <w:szCs w:val="20"/>
          <w:color w:val="auto"/>
        </w:rPr>
      </w:pPr>
    </w:p>
    <w:p>
      <w:pPr>
        <w:ind w:right="40" w:firstLine="636"/>
        <w:spacing w:after="0" w:line="271" w:lineRule="auto"/>
        <w:rPr>
          <w:sz w:val="20"/>
          <w:szCs w:val="20"/>
          <w:color w:val="auto"/>
        </w:rPr>
      </w:pPr>
      <w:r>
        <w:rPr>
          <w:rFonts w:ascii="Times New Roman" w:cs="Times New Roman" w:eastAsia="Times New Roman" w:hAnsi="Times New Roman"/>
          <w:sz w:val="17"/>
          <w:szCs w:val="17"/>
          <w:color w:val="auto"/>
        </w:rPr>
        <w:t>The Company is authorized to issue 500.0 million shares of common stock with a par value of $0.0001 per share. As of December 31, 2022 and 2021, there were 249,567,343 shares and 242,738,350 shares of the Company’s common stock outstanding, respectively, excluding zero and 2,600,002 shares, respectively, of RSAs outstanding that are subject to vesting requirements. Subject to preferences that may apply to any shares of preferred stock outstanding at the time, the holders of the Company’s common stock are entitled to receive dividends out of funds legally available if the Company’s board of directors, in its discretion, determines to issue dividends and then only at the times and in the amounts that the Company’s board of directors may determine.</w:t>
      </w:r>
    </w:p>
    <w:p>
      <w:pPr>
        <w:spacing w:after="0" w:line="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March 2020, the Company repurchased 2,032,166 shares of its common stock from a related party for a purchase price of $11.8 million.</w:t>
      </w:r>
    </w:p>
    <w:p>
      <w:pPr>
        <w:spacing w:after="0" w:line="111" w:lineRule="exact"/>
        <w:rPr>
          <w:sz w:val="20"/>
          <w:szCs w:val="20"/>
          <w:color w:val="auto"/>
        </w:rPr>
      </w:pPr>
    </w:p>
    <w:p>
      <w:pPr>
        <w:ind w:firstLine="636"/>
        <w:spacing w:after="0" w:line="249" w:lineRule="auto"/>
        <w:rPr>
          <w:sz w:val="20"/>
          <w:szCs w:val="20"/>
          <w:color w:val="auto"/>
        </w:rPr>
      </w:pPr>
      <w:r>
        <w:rPr>
          <w:rFonts w:ascii="Times New Roman" w:cs="Times New Roman" w:eastAsia="Times New Roman" w:hAnsi="Times New Roman"/>
          <w:sz w:val="18"/>
          <w:szCs w:val="18"/>
          <w:color w:val="auto"/>
        </w:rPr>
        <w:t>On August 4, 2022, the Company entered into an Equity Distribution Agreement with Goldman Sachs &amp; Co. LLC (“Goldman Sachs”) and BofA Securities, Inc. (“BofA”, and together with Goldman Sachs, “the Agents”) with respect to an at-the-market offering program (the “Equity Distribution Agreement”). In accordance with the terms of the Equity Distribution Agreement, the Company may offer and sell from time to time through the Agents shares of the Company’s common stock having an aggregate offering amount of up to $200.0 million (“the Placement Shares”). Sales of the Placement Shares, if any, will be made at prevailing market prices on Nasdaq at the time of sale, or as otherwise agreed with the Agents, by any method permitted by law deemed to be an “at-the-market offering” as defined in Rule 415 of the Securities Act of 1933, as amended. The Company will pay commissions to the Agents of up to 3.0% of the gross proceeds of the sale of the Placement Shares sold under the Equity Distribution Agreement and reimburse the Agents for certain expenses. Neither the Company nor the Agents are obligated to sell any shares and, to date, the Company has not made any sales under the Equity Distribution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15" w:lineRule="exact"/>
        <w:rPr>
          <w:sz w:val="20"/>
          <w:szCs w:val="20"/>
          <w:color w:val="auto"/>
        </w:rPr>
      </w:pPr>
    </w:p>
    <w:p>
      <w:pPr>
        <w:ind w:right="60" w:firstLine="636"/>
        <w:spacing w:after="0" w:line="247" w:lineRule="auto"/>
        <w:rPr>
          <w:sz w:val="20"/>
          <w:szCs w:val="20"/>
          <w:color w:val="auto"/>
        </w:rPr>
      </w:pPr>
      <w:r>
        <w:rPr>
          <w:rFonts w:ascii="Times New Roman" w:cs="Times New Roman" w:eastAsia="Times New Roman" w:hAnsi="Times New Roman"/>
          <w:sz w:val="18"/>
          <w:szCs w:val="18"/>
          <w:color w:val="auto"/>
        </w:rPr>
        <w:t>In June 2021, the Company adopted the 2021 Equity Incentive Plan (“2021 Plan”), which on the date of the underwriting agreement related to the Company’s IPO became effective with an initial reserve of 26,662,087 shares, plus any shares subject to outstanding awards granted under the 2018 Equity Incentive Plan (“2018 Plan”) that, on or after the effectiveness of the 2021 Plan, terminate or expire before exercise or settlement, are not issued because the award is settled in cash, are forfeited because of the failure to vest or are reacquired or withheld (or not issued) to satisfy a tax withholding obligation or the purchase or exercise price. In addition, the number of shares reserved for issuance under the 2021 Plan automatically increases on January 1 of each year for a period of ten years, beginning on January 1, 2022 and continuing through January 1, 2031, in an amount equal to (1) 5% of the total number of shares of the Company’s common stock outstanding on December 31 of the immediately preceding year, or (2) a lesser number of shares determined by the Company’s board of directors no later than December 31 of the immediately preceding year. On January 1, 2022, the Company reserved an additional 12,266,917 shares of common stock for issuance under the 2021 Plan representing 5% of the total common shares outstanding as of December 31, 2021. Under the 2021 Plan, the Company may grant incentive stock options, non-statutory stock options, RSAs, RSUs, stock appreciation rights, performance awards and other stock-based awards. Terms of stock awards, including vesting requirements, are determined by the Company’s board of directors or by a committee authorized by the Company’s board of directors, subject to provisions of the 2021 Plan. The term of any stock option granted under the 2021 Plan cannot exceed ten years. Generally, awards granted by the Company vest over four years, but may be granted with different vesting terms. In conjunction with adopting the 2021 Plan, the Company discontinued the 2018 Plan with respect to new equity awards.</w:t>
      </w:r>
    </w:p>
    <w:p>
      <w:pPr>
        <w:spacing w:after="0" w:line="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December 31, 2022, 20,264,523 shares were available for future issuance pursuant to the 2021 Plan.</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Lyell Immunopharma,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15" w:lineRule="exact"/>
        <w:rPr>
          <w:sz w:val="20"/>
          <w:szCs w:val="20"/>
          <w:color w:val="auto"/>
        </w:rPr>
      </w:pPr>
    </w:p>
    <w:p>
      <w:pPr>
        <w:ind w:right="20" w:firstLine="636"/>
        <w:spacing w:after="0" w:line="248" w:lineRule="auto"/>
        <w:rPr>
          <w:sz w:val="20"/>
          <w:szCs w:val="20"/>
          <w:color w:val="auto"/>
        </w:rPr>
      </w:pPr>
      <w:r>
        <w:rPr>
          <w:rFonts w:ascii="Times New Roman" w:cs="Times New Roman" w:eastAsia="Times New Roman" w:hAnsi="Times New Roman"/>
          <w:sz w:val="18"/>
          <w:szCs w:val="18"/>
          <w:color w:val="auto"/>
        </w:rPr>
        <w:t>In June 2021, the Company adopted the 2021 Employee Stock Purchase Plan (“2021 ESPP”), which became effective immediately prior to the execution of the underwriting agreement related to the Company’s IPO with an initial reserve of 2,470,000 shares. The 2021 ESPP allows eligible employees to purchase shares of the Company’s common stock at a discount through payroll deductions of up to 15% of their earnings, subject to plan limitations. Unless otherwise determined by the Company’s board of directors, employees are able to purchase shares at 85% of the lower of the fair market value of the Company’s common stock on the first date of an offering or on the purchase date. The number of shares of the Company’s common stock reserved for issuance under the 2021 ESPP automatically increases on January 1 of each year for a period of ten years, beginning on January 1, 2022 and continuing through January 1, 2031, by the lesser of (1) 1% of the total number of shares of the Company’s common stock outstanding on December 31 of the immediately preceding year, and (2) 4,940,000 shares; provided, however, that the Company’s board of directors may act to provide a lesser increase in number of shares. On January 1, 2022, the Company reserved an additional 2,453,383 common shares for issuance under the 2021 ESPP representing 1% of the total common shares outstanding as of December 31, 2021. The Company may specify offerings with durations not more than 27 months and may specify shorter purchase periods within each offering. Under the 2021 ESPP, 475,363 and zero shares have been issued for the years ended December 31, 2022 and 2021, respectively.</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December 31, 2022, 4,448,020 shares were available for future issuance pursuant to the 2021 ESPP.</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Equity Incentive Plan</w:t>
      </w:r>
    </w:p>
    <w:p>
      <w:pPr>
        <w:spacing w:after="0" w:line="115" w:lineRule="exact"/>
        <w:rPr>
          <w:sz w:val="20"/>
          <w:szCs w:val="20"/>
          <w:color w:val="auto"/>
        </w:rPr>
      </w:pPr>
    </w:p>
    <w:p>
      <w:pPr>
        <w:ind w:right="180" w:firstLine="636"/>
        <w:spacing w:after="0" w:line="268" w:lineRule="auto"/>
        <w:rPr>
          <w:sz w:val="20"/>
          <w:szCs w:val="20"/>
          <w:color w:val="auto"/>
        </w:rPr>
      </w:pPr>
      <w:r>
        <w:rPr>
          <w:rFonts w:ascii="Times New Roman" w:cs="Times New Roman" w:eastAsia="Times New Roman" w:hAnsi="Times New Roman"/>
          <w:sz w:val="17"/>
          <w:szCs w:val="17"/>
          <w:color w:val="auto"/>
        </w:rPr>
        <w:t>In 2018, the Company established the 2018 Plan that provided for the grant of incentive stock options, non-statutory stock options, RSAs, RSUs, stock appreciation rights and other stock-based awards. Terms of stock awards, including vesting requirements, were determined by the board of directors or by a committee authorized by the Company’s board of directors, subject to provisions of the 2018 Plan. The term of any stock option granted under the</w:t>
      </w:r>
    </w:p>
    <w:p>
      <w:pPr>
        <w:spacing w:after="0" w:line="1" w:lineRule="exact"/>
        <w:rPr>
          <w:sz w:val="20"/>
          <w:szCs w:val="20"/>
          <w:color w:val="auto"/>
        </w:rPr>
      </w:pPr>
    </w:p>
    <w:p>
      <w:pPr>
        <w:jc w:val="both"/>
        <w:ind w:right="80"/>
        <w:spacing w:after="0" w:line="247" w:lineRule="auto"/>
        <w:rPr>
          <w:sz w:val="20"/>
          <w:szCs w:val="20"/>
          <w:color w:val="auto"/>
        </w:rPr>
      </w:pPr>
      <w:r>
        <w:rPr>
          <w:rFonts w:ascii="Times New Roman" w:cs="Times New Roman" w:eastAsia="Times New Roman" w:hAnsi="Times New Roman"/>
          <w:sz w:val="18"/>
          <w:szCs w:val="18"/>
          <w:color w:val="auto"/>
        </w:rPr>
        <w:t>2018 Plan cannot exceed ten years. Generally, awards granted by the Company vest over four years, but could have been granted with different vesting terms. Pursuant to the terms of the 2021 Plan, any shares subject to outstanding options originally granted under the 2018 Plan that terminate, expire or lapse for any reason without the delivery of shares to the holder thereof become available for issuance pursuant to awards granted under the 2021 Plan. While no shares are available for future issuance under the 2018 Plan, it continues to govern outstanding equity awards granted thereunder.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15" w:lineRule="exact"/>
        <w:rPr>
          <w:sz w:val="20"/>
          <w:szCs w:val="20"/>
          <w:color w:val="auto"/>
        </w:rPr>
      </w:pPr>
    </w:p>
    <w:p>
      <w:pPr>
        <w:ind w:right="340" w:firstLine="636"/>
        <w:spacing w:after="0" w:line="274" w:lineRule="auto"/>
        <w:rPr>
          <w:sz w:val="20"/>
          <w:szCs w:val="20"/>
          <w:color w:val="auto"/>
        </w:rPr>
      </w:pPr>
      <w:r>
        <w:rPr>
          <w:rFonts w:ascii="Times New Roman" w:cs="Times New Roman" w:eastAsia="Times New Roman" w:hAnsi="Times New Roman"/>
          <w:sz w:val="18"/>
          <w:szCs w:val="18"/>
          <w:color w:val="auto"/>
        </w:rPr>
        <w:t>Stock-based compensation expense by classification included within the Consolidated Statements of Operations and Comprehensive Loss was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8"/>
        </w:trPr>
        <w:tc>
          <w:tcPr>
            <w:tcW w:w="66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66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38"/>
        </w:trPr>
        <w:tc>
          <w:tcPr>
            <w:tcW w:w="66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tcBorders>
              <w:bottom w:val="single" w:sz="8" w:color="CCEEFF"/>
            </w:tcBorders>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16,721</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14,977</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65,203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18,284</w:t>
            </w:r>
          </w:p>
        </w:tc>
      </w:tr>
      <w:tr>
        <w:trPr>
          <w:trHeight w:val="25"/>
        </w:trPr>
        <w:tc>
          <w:tcPr>
            <w:tcW w:w="66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8"/>
        </w:trPr>
        <w:tc>
          <w:tcPr>
            <w:tcW w:w="6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2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81,924</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580" w:firstLine="636"/>
        <w:spacing w:after="0" w:line="274" w:lineRule="auto"/>
        <w:rPr>
          <w:sz w:val="20"/>
          <w:szCs w:val="20"/>
          <w:color w:val="auto"/>
        </w:rPr>
      </w:pPr>
      <w:r>
        <w:rPr>
          <w:rFonts w:ascii="Times New Roman" w:cs="Times New Roman" w:eastAsia="Times New Roman" w:hAnsi="Times New Roman"/>
          <w:sz w:val="18"/>
          <w:szCs w:val="18"/>
          <w:color w:val="auto"/>
        </w:rPr>
        <w:t>Stock-based compensation expense for the year ended December 31, 2021 included the impact of an award accelerated in connection with the Company’s IPO of $2.6 million.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 and RSA Modifications</w:t>
      </w:r>
    </w:p>
    <w:p>
      <w:pPr>
        <w:spacing w:after="0" w:line="113" w:lineRule="exact"/>
        <w:rPr>
          <w:sz w:val="20"/>
          <w:szCs w:val="20"/>
          <w:color w:val="auto"/>
        </w:rPr>
      </w:pPr>
    </w:p>
    <w:p>
      <w:pPr>
        <w:ind w:right="80" w:firstLine="636"/>
        <w:spacing w:after="0" w:line="252" w:lineRule="auto"/>
        <w:rPr>
          <w:sz w:val="20"/>
          <w:szCs w:val="20"/>
          <w:color w:val="auto"/>
        </w:rPr>
      </w:pPr>
      <w:r>
        <w:rPr>
          <w:rFonts w:ascii="Times New Roman" w:cs="Times New Roman" w:eastAsia="Times New Roman" w:hAnsi="Times New Roman"/>
          <w:sz w:val="18"/>
          <w:szCs w:val="18"/>
          <w:color w:val="auto"/>
        </w:rPr>
        <w:t>In December 2022, the Company’s former chief executive officer (“CEO”) resigned. Under the terms of the separation agreement, the former CEO will be available to provide consulting services to the Company through June 15, 2024, with vested options continuing to be exercisable and unvested options continuing to vest through that date. The Company concluded that the obligation to provide consulting services is nonsubstantive, and therefore resulted in a modification of their options due to the reduction of their service level. As their remaining service period was determined to be nonsubstantive, the entire incremental expense of $3.7 million associated with the modification was recognized in the fourth quarter of 2022.</w:t>
      </w:r>
    </w:p>
    <w:p>
      <w:pPr>
        <w:spacing w:after="0" w:line="79" w:lineRule="exact"/>
        <w:rPr>
          <w:sz w:val="20"/>
          <w:szCs w:val="20"/>
          <w:color w:val="auto"/>
        </w:rPr>
      </w:pPr>
    </w:p>
    <w:p>
      <w:pPr>
        <w:ind w:right="300" w:firstLine="636"/>
        <w:spacing w:after="0" w:line="259" w:lineRule="auto"/>
        <w:rPr>
          <w:sz w:val="20"/>
          <w:szCs w:val="20"/>
          <w:color w:val="auto"/>
        </w:rPr>
      </w:pPr>
      <w:r>
        <w:rPr>
          <w:rFonts w:ascii="Times New Roman" w:cs="Times New Roman" w:eastAsia="Times New Roman" w:hAnsi="Times New Roman"/>
          <w:sz w:val="18"/>
          <w:szCs w:val="18"/>
          <w:color w:val="auto"/>
        </w:rPr>
        <w:t>In 2021, the Company had modifications due to the reduction in the service level for a previous CEO, who resigned as Executive Chairman in the fourth quarter of 2021, as well as an increase to certain awards’ post-termination exercise periods. In 2020, the Company had modifications due to the reduction in the service level for a previous CEO,</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Lyell Immunopharma,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2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changes in vesting schedules for certain individuals and increases to certain awards’ post-termination exercise periods. The 2021 and 2020 modifications impacted both vested and unvested awards. Expense associated with vested awards is recognized in the period of the modification and expense associated with unvested awards is recognized over the remaining service life of the options or RSAs.</w:t>
      </w:r>
    </w:p>
    <w:p>
      <w:pPr>
        <w:spacing w:after="0" w:line="72" w:lineRule="exact"/>
        <w:rPr>
          <w:sz w:val="20"/>
          <w:szCs w:val="20"/>
          <w:color w:val="auto"/>
        </w:rPr>
      </w:pPr>
    </w:p>
    <w:p>
      <w:pPr>
        <w:ind w:right="820" w:firstLine="636"/>
        <w:spacing w:after="0" w:line="272" w:lineRule="auto"/>
        <w:rPr>
          <w:sz w:val="20"/>
          <w:szCs w:val="20"/>
          <w:color w:val="auto"/>
        </w:rPr>
      </w:pPr>
      <w:r>
        <w:rPr>
          <w:rFonts w:ascii="Times New Roman" w:cs="Times New Roman" w:eastAsia="Times New Roman" w:hAnsi="Times New Roman"/>
          <w:sz w:val="18"/>
          <w:szCs w:val="18"/>
          <w:color w:val="auto"/>
        </w:rPr>
        <w:t>The following table shows the total incremental stock-based compensation expense associated with modifications by the year in which the modification occurred in the years December 31, 2022, 2021 and 2020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6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38"/>
        </w:trPr>
        <w:tc>
          <w:tcPr>
            <w:tcW w:w="66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Previous CEO - Options</w:t>
            </w:r>
            <w:r>
              <w:rPr>
                <w:rFonts w:ascii="Times New Roman" w:cs="Times New Roman" w:eastAsia="Times New Roman" w:hAnsi="Times New Roman"/>
                <w:sz w:val="22"/>
                <w:szCs w:val="22"/>
                <w:color w:val="auto"/>
                <w:vertAlign w:val="superscript"/>
              </w:rPr>
              <w:t>(1)</w:t>
            </w:r>
          </w:p>
        </w:tc>
        <w:tc>
          <w:tcPr>
            <w:tcW w:w="96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Previous CEO - Options</w:t>
            </w:r>
            <w:r>
              <w:rPr>
                <w:rFonts w:ascii="Times New Roman" w:cs="Times New Roman" w:eastAsia="Times New Roman" w:hAnsi="Times New Roman"/>
                <w:sz w:val="22"/>
                <w:szCs w:val="22"/>
                <w:color w:val="auto"/>
                <w:vertAlign w:val="superscript"/>
              </w:rPr>
              <w:t>(2)</w:t>
            </w:r>
          </w:p>
        </w:tc>
        <w:tc>
          <w:tcPr>
            <w:tcW w:w="960" w:type="dxa"/>
            <w:vAlign w:val="bottom"/>
          </w:tcPr>
          <w:p>
            <w:pPr>
              <w:spacing w:after="0"/>
              <w:rPr>
                <w:sz w:val="23"/>
                <w:szCs w:val="2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15,052</w:t>
            </w:r>
          </w:p>
        </w:tc>
        <w:tc>
          <w:tcPr>
            <w:tcW w:w="0" w:type="dxa"/>
            <w:vAlign w:val="bottom"/>
          </w:tcPr>
          <w:p>
            <w:pPr>
              <w:spacing w:after="0"/>
              <w:rPr>
                <w:sz w:val="1"/>
                <w:szCs w:val="1"/>
                <w:color w:val="auto"/>
              </w:rPr>
            </w:pPr>
          </w:p>
        </w:tc>
      </w:tr>
      <w:tr>
        <w:trPr>
          <w:trHeight w:val="26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 Options</w:t>
            </w:r>
            <w:r>
              <w:rPr>
                <w:rFonts w:ascii="Times New Roman" w:cs="Times New Roman" w:eastAsia="Times New Roman" w:hAnsi="Times New Roman"/>
                <w:sz w:val="22"/>
                <w:szCs w:val="22"/>
                <w:color w:val="auto"/>
                <w:vertAlign w:val="superscript"/>
              </w:rPr>
              <w:t>(3)</w:t>
            </w:r>
          </w:p>
        </w:tc>
        <w:tc>
          <w:tcPr>
            <w:tcW w:w="96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0" w:type="dxa"/>
            <w:vAlign w:val="bottom"/>
          </w:tcPr>
          <w:p>
            <w:pPr>
              <w:spacing w:after="0"/>
              <w:rPr>
                <w:sz w:val="1"/>
                <w:szCs w:val="1"/>
                <w:color w:val="auto"/>
              </w:rPr>
            </w:pPr>
          </w:p>
        </w:tc>
      </w:tr>
      <w:tr>
        <w:trPr>
          <w:trHeight w:val="26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Previous CEO - RSA</w:t>
            </w:r>
            <w:r>
              <w:rPr>
                <w:rFonts w:ascii="Times New Roman" w:cs="Times New Roman" w:eastAsia="Times New Roman" w:hAnsi="Times New Roman"/>
                <w:sz w:val="22"/>
                <w:szCs w:val="22"/>
                <w:color w:val="auto"/>
                <w:vertAlign w:val="superscript"/>
              </w:rPr>
              <w:t>(4)</w:t>
            </w:r>
          </w:p>
        </w:tc>
        <w:tc>
          <w:tcPr>
            <w:tcW w:w="960" w:type="dxa"/>
            <w:vAlign w:val="bottom"/>
          </w:tcPr>
          <w:p>
            <w:pPr>
              <w:spacing w:after="0"/>
              <w:rPr>
                <w:sz w:val="23"/>
                <w:szCs w:val="2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20,799</w:t>
            </w:r>
          </w:p>
        </w:tc>
        <w:tc>
          <w:tcPr>
            <w:tcW w:w="0" w:type="dxa"/>
            <w:vAlign w:val="bottom"/>
          </w:tcPr>
          <w:p>
            <w:pPr>
              <w:spacing w:after="0"/>
              <w:rPr>
                <w:sz w:val="1"/>
                <w:szCs w:val="1"/>
                <w:color w:val="auto"/>
              </w:rPr>
            </w:pPr>
          </w:p>
        </w:tc>
      </w:tr>
      <w:tr>
        <w:trPr>
          <w:trHeight w:val="26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 RSA</w:t>
            </w:r>
            <w:r>
              <w:rPr>
                <w:rFonts w:ascii="Times New Roman" w:cs="Times New Roman" w:eastAsia="Times New Roman" w:hAnsi="Times New Roman"/>
                <w:sz w:val="22"/>
                <w:szCs w:val="22"/>
                <w:color w:val="auto"/>
                <w:vertAlign w:val="superscript"/>
              </w:rPr>
              <w:t>(5)</w:t>
            </w:r>
          </w:p>
        </w:tc>
        <w:tc>
          <w:tcPr>
            <w:tcW w:w="96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0" w:type="dxa"/>
            <w:vAlign w:val="bottom"/>
          </w:tcPr>
          <w:p>
            <w:pPr>
              <w:spacing w:after="0"/>
              <w:rPr>
                <w:sz w:val="1"/>
                <w:szCs w:val="1"/>
                <w:color w:val="auto"/>
              </w:rPr>
            </w:pPr>
          </w:p>
        </w:tc>
      </w:tr>
      <w:tr>
        <w:trPr>
          <w:trHeight w:val="25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bottom w:val="single" w:sz="8" w:color="auto"/>
            </w:tcBorders>
          </w:tcPr>
          <w:p>
            <w:pPr>
              <w:jc w:val="right"/>
              <w:ind w:right="75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49,597</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w:t>
            </w: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6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80" w:hanging="474"/>
        <w:spacing w:after="0"/>
        <w:tabs>
          <w:tab w:leader="none" w:pos="4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modification for Previous CEO - Options for 2022 is for Ms. Elizabeth Homans, who resigned in December 2022.</w:t>
      </w:r>
    </w:p>
    <w:p>
      <w:pPr>
        <w:spacing w:after="0" w:line="6" w:lineRule="exact"/>
        <w:rPr>
          <w:rFonts w:ascii="Times New Roman" w:cs="Times New Roman" w:eastAsia="Times New Roman" w:hAnsi="Times New Roman"/>
          <w:sz w:val="14"/>
          <w:szCs w:val="14"/>
          <w:color w:val="auto"/>
        </w:rPr>
      </w:pPr>
    </w:p>
    <w:p>
      <w:pPr>
        <w:ind w:left="480" w:hanging="474"/>
        <w:spacing w:after="0"/>
        <w:tabs>
          <w:tab w:leader="none" w:pos="4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modifications for Previous CEO - Options for 2021 and 2020 is for Dr. Richard Klausner, who resigned as Executive Chairman in October 2021 and is now the Chair of Lyell’s Board.</w:t>
      </w:r>
    </w:p>
    <w:p>
      <w:pPr>
        <w:spacing w:after="0" w:line="11" w:lineRule="exact"/>
        <w:rPr>
          <w:rFonts w:ascii="Times New Roman" w:cs="Times New Roman" w:eastAsia="Times New Roman" w:hAnsi="Times New Roman"/>
          <w:sz w:val="14"/>
          <w:szCs w:val="14"/>
          <w:color w:val="auto"/>
        </w:rPr>
      </w:pPr>
    </w:p>
    <w:p>
      <w:pPr>
        <w:ind w:left="480" w:hanging="474"/>
        <w:spacing w:after="0"/>
        <w:tabs>
          <w:tab w:leader="none" w:pos="4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modifications for Other - Options are represented by one individual in 2021 and four individuals in 2020.</w:t>
      </w:r>
    </w:p>
    <w:p>
      <w:pPr>
        <w:spacing w:after="0" w:line="11" w:lineRule="exact"/>
        <w:rPr>
          <w:rFonts w:ascii="Times New Roman" w:cs="Times New Roman" w:eastAsia="Times New Roman" w:hAnsi="Times New Roman"/>
          <w:sz w:val="14"/>
          <w:szCs w:val="14"/>
          <w:color w:val="auto"/>
        </w:rPr>
      </w:pPr>
    </w:p>
    <w:p>
      <w:pPr>
        <w:ind w:left="480" w:hanging="474"/>
        <w:spacing w:after="0"/>
        <w:tabs>
          <w:tab w:leader="none" w:pos="4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modifications for Previous CEO - RSAs for 2021 and 2020 are for Dr. Richard Klausner, who resigned as Executive Chairman in October 2021 and is now the Chair of Lyell’s Board.</w:t>
      </w:r>
    </w:p>
    <w:p>
      <w:pPr>
        <w:spacing w:after="0" w:line="11" w:lineRule="exact"/>
        <w:rPr>
          <w:rFonts w:ascii="Times New Roman" w:cs="Times New Roman" w:eastAsia="Times New Roman" w:hAnsi="Times New Roman"/>
          <w:sz w:val="14"/>
          <w:szCs w:val="14"/>
          <w:color w:val="auto"/>
        </w:rPr>
      </w:pPr>
    </w:p>
    <w:p>
      <w:pPr>
        <w:ind w:left="480" w:hanging="474"/>
        <w:spacing w:after="0"/>
        <w:tabs>
          <w:tab w:leader="none" w:pos="4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modifications for Other - RSAs are represented by three individuals in 2020.</w:t>
      </w:r>
    </w:p>
    <w:p>
      <w:pPr>
        <w:spacing w:after="0" w:line="97" w:lineRule="exact"/>
        <w:rPr>
          <w:sz w:val="20"/>
          <w:szCs w:val="20"/>
          <w:color w:val="auto"/>
        </w:rPr>
      </w:pPr>
    </w:p>
    <w:p>
      <w:pPr>
        <w:ind w:right="20" w:firstLine="636"/>
        <w:spacing w:after="0" w:line="274" w:lineRule="auto"/>
        <w:rPr>
          <w:sz w:val="20"/>
          <w:szCs w:val="20"/>
          <w:color w:val="auto"/>
        </w:rPr>
      </w:pPr>
      <w:r>
        <w:rPr>
          <w:rFonts w:ascii="Times New Roman" w:cs="Times New Roman" w:eastAsia="Times New Roman" w:hAnsi="Times New Roman"/>
          <w:sz w:val="18"/>
          <w:szCs w:val="18"/>
          <w:color w:val="auto"/>
        </w:rPr>
        <w:t>At December 31, 2022, total stock-based compensation cost related to unvested awards not yet recognized was $98.5 million, which is expected to be recognized over a remaining weighted-average period of 2.86 years.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summary of the Company’s RSA activity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0" w:type="dxa"/>
            <w:vAlign w:val="bottom"/>
          </w:tcPr>
          <w:p>
            <w:pPr>
              <w:spacing w:after="0"/>
              <w:rPr>
                <w:sz w:val="1"/>
                <w:szCs w:val="1"/>
                <w:color w:val="auto"/>
              </w:rPr>
            </w:pPr>
          </w:p>
        </w:tc>
      </w:tr>
      <w:tr>
        <w:trPr>
          <w:trHeight w:val="172"/>
        </w:trPr>
        <w:tc>
          <w:tcPr>
            <w:tcW w:w="7880" w:type="dxa"/>
            <w:vAlign w:val="bottom"/>
          </w:tcPr>
          <w:p>
            <w:pPr>
              <w:spacing w:after="0"/>
              <w:rPr>
                <w:sz w:val="14"/>
                <w:szCs w:val="14"/>
                <w:color w:val="auto"/>
              </w:rPr>
            </w:pPr>
          </w:p>
        </w:tc>
        <w:tc>
          <w:tcPr>
            <w:tcW w:w="148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Value at Grant Date</w:t>
            </w:r>
          </w:p>
        </w:tc>
        <w:tc>
          <w:tcPr>
            <w:tcW w:w="0" w:type="dxa"/>
            <w:vAlign w:val="bottom"/>
          </w:tcPr>
          <w:p>
            <w:pPr>
              <w:spacing w:after="0"/>
              <w:rPr>
                <w:sz w:val="1"/>
                <w:szCs w:val="1"/>
                <w:color w:val="auto"/>
              </w:rPr>
            </w:pPr>
          </w:p>
        </w:tc>
      </w:tr>
      <w:tr>
        <w:trPr>
          <w:trHeight w:val="186"/>
        </w:trPr>
        <w:tc>
          <w:tcPr>
            <w:tcW w:w="78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4"/>
        </w:trPr>
        <w:tc>
          <w:tcPr>
            <w:tcW w:w="78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as of December 31, 2021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2,600,002</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0" w:type="dxa"/>
            <w:vAlign w:val="bottom"/>
          </w:tcPr>
          <w:p>
            <w:pPr>
              <w:spacing w:after="0"/>
              <w:rPr>
                <w:sz w:val="1"/>
                <w:szCs w:val="1"/>
                <w:color w:val="auto"/>
              </w:rPr>
            </w:pPr>
          </w:p>
        </w:tc>
      </w:tr>
      <w:tr>
        <w:trPr>
          <w:trHeight w:val="240"/>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(2,600,002)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0" w:type="dxa"/>
            <w:vAlign w:val="bottom"/>
          </w:tcPr>
          <w:p>
            <w:pPr>
              <w:spacing w:after="0"/>
              <w:rPr>
                <w:sz w:val="1"/>
                <w:szCs w:val="1"/>
                <w:color w:val="auto"/>
              </w:rPr>
            </w:pPr>
          </w:p>
        </w:tc>
      </w:tr>
      <w:tr>
        <w:trPr>
          <w:trHeight w:val="25"/>
        </w:trPr>
        <w:tc>
          <w:tcPr>
            <w:tcW w:w="78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as of December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560" w:firstLine="636"/>
        <w:spacing w:after="0" w:line="274" w:lineRule="auto"/>
        <w:rPr>
          <w:sz w:val="20"/>
          <w:szCs w:val="20"/>
          <w:color w:val="auto"/>
        </w:rPr>
      </w:pPr>
      <w:r>
        <w:rPr>
          <w:rFonts w:ascii="Times New Roman" w:cs="Times New Roman" w:eastAsia="Times New Roman" w:hAnsi="Times New Roman"/>
          <w:sz w:val="18"/>
          <w:szCs w:val="18"/>
          <w:color w:val="auto"/>
        </w:rPr>
        <w:t>The fair value of RSAs vested during the years ended December 31, 2022, 2021 and 2020 was $15.2 million, $57.1 million and $29.4 million, respectively.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Lyell Immunopharma,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summary of the Company’s RSU activity was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r>
      <w:tr>
        <w:trPr>
          <w:trHeight w:val="159"/>
        </w:trPr>
        <w:tc>
          <w:tcPr>
            <w:tcW w:w="78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jc w:val="center"/>
              <w:ind w:right="98"/>
              <w:spacing w:after="0" w:line="159" w:lineRule="exact"/>
              <w:rPr>
                <w:sz w:val="20"/>
                <w:szCs w:val="20"/>
                <w:color w:val="auto"/>
              </w:rPr>
            </w:pPr>
            <w:r>
              <w:rPr>
                <w:rFonts w:ascii="Times New Roman" w:cs="Times New Roman" w:eastAsia="Times New Roman" w:hAnsi="Times New Roman"/>
                <w:sz w:val="14"/>
                <w:szCs w:val="14"/>
                <w:b w:val="1"/>
                <w:bCs w:val="1"/>
                <w:color w:val="auto"/>
              </w:rPr>
              <w:t>Value at Grant Date</w:t>
            </w:r>
          </w:p>
        </w:tc>
      </w:tr>
      <w:tr>
        <w:trPr>
          <w:trHeight w:val="186"/>
        </w:trPr>
        <w:tc>
          <w:tcPr>
            <w:tcW w:w="7880" w:type="dxa"/>
            <w:vAlign w:val="bottom"/>
          </w:tcPr>
          <w:p>
            <w:pPr>
              <w:spacing w:after="0"/>
              <w:rPr>
                <w:sz w:val="16"/>
                <w:szCs w:val="16"/>
                <w:color w:val="auto"/>
              </w:rPr>
            </w:pPr>
          </w:p>
        </w:tc>
        <w:tc>
          <w:tcPr>
            <w:tcW w:w="14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38"/>
        </w:trPr>
        <w:tc>
          <w:tcPr>
            <w:tcW w:w="78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38"/>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as of December 31, 2021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RSUs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1,330,962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6"/>
        </w:trPr>
        <w:tc>
          <w:tcPr>
            <w:tcW w:w="7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5"/>
        </w:trPr>
        <w:tc>
          <w:tcPr>
            <w:tcW w:w="7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RSUs 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(223,200)</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39"/>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RSUs forfeited or canceled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(235,685)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6"/>
        </w:trPr>
        <w:tc>
          <w:tcPr>
            <w:tcW w:w="78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83"/>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as of December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872,077</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167" w:lineRule="exact"/>
        <w:rPr>
          <w:sz w:val="20"/>
          <w:szCs w:val="20"/>
          <w:color w:val="auto"/>
        </w:rPr>
      </w:pPr>
    </w:p>
    <w:p>
      <w:pPr>
        <w:ind w:right="280" w:firstLine="636"/>
        <w:spacing w:after="0" w:line="274" w:lineRule="auto"/>
        <w:rPr>
          <w:sz w:val="20"/>
          <w:szCs w:val="20"/>
          <w:color w:val="auto"/>
        </w:rPr>
      </w:pPr>
      <w:r>
        <w:rPr>
          <w:rFonts w:ascii="Times New Roman" w:cs="Times New Roman" w:eastAsia="Times New Roman" w:hAnsi="Times New Roman"/>
          <w:sz w:val="18"/>
          <w:szCs w:val="18"/>
          <w:color w:val="auto"/>
        </w:rPr>
        <w:t>The fair value of RSUs vested during the year ended December 31, 2022 was $1.5 million. No RSUs vested during the years ended December 31, 2021 and 2020.</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summary of the Company’s stock option activity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jc w:val="center"/>
              <w:ind w:left="781"/>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2"/>
        </w:trPr>
        <w:tc>
          <w:tcPr>
            <w:tcW w:w="5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Pr>
          <w:p>
            <w:pPr>
              <w:jc w:val="center"/>
              <w:ind w:left="4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40" w:type="dxa"/>
            <w:vAlign w:val="bottom"/>
          </w:tcPr>
          <w:p>
            <w:pPr>
              <w:jc w:val="center"/>
              <w:ind w:left="761"/>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2"/>
        </w:trPr>
        <w:tc>
          <w:tcPr>
            <w:tcW w:w="5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Pr>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40" w:type="dxa"/>
            <w:vAlign w:val="bottom"/>
          </w:tcPr>
          <w:p>
            <w:pPr>
              <w:jc w:val="center"/>
              <w:ind w:left="781"/>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2"/>
        </w:trPr>
        <w:tc>
          <w:tcPr>
            <w:tcW w:w="50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tcPr>
          <w:p>
            <w:pPr>
              <w:jc w:val="center"/>
              <w:ind w:left="42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640" w:type="dxa"/>
            <w:vAlign w:val="bottom"/>
          </w:tcPr>
          <w:p>
            <w:pPr>
              <w:jc w:val="center"/>
              <w:ind w:left="761"/>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7"/>
              </w:rPr>
              <w:t>Aggregate</w:t>
            </w:r>
          </w:p>
        </w:tc>
      </w:tr>
      <w:tr>
        <w:trPr>
          <w:trHeight w:val="159"/>
        </w:trPr>
        <w:tc>
          <w:tcPr>
            <w:tcW w:w="5020" w:type="dxa"/>
            <w:vAlign w:val="bottom"/>
          </w:tcPr>
          <w:p>
            <w:pPr>
              <w:spacing w:after="0"/>
              <w:rPr>
                <w:sz w:val="13"/>
                <w:szCs w:val="13"/>
                <w:color w:val="auto"/>
              </w:rPr>
            </w:pPr>
          </w:p>
        </w:tc>
        <w:tc>
          <w:tcPr>
            <w:tcW w:w="15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Stock</w:t>
            </w:r>
          </w:p>
        </w:tc>
        <w:tc>
          <w:tcPr>
            <w:tcW w:w="1160" w:type="dxa"/>
            <w:vAlign w:val="bottom"/>
          </w:tcPr>
          <w:p>
            <w:pPr>
              <w:jc w:val="center"/>
              <w:ind w:left="400"/>
              <w:spacing w:after="0" w:line="159" w:lineRule="exact"/>
              <w:rPr>
                <w:sz w:val="20"/>
                <w:szCs w:val="20"/>
                <w:color w:val="auto"/>
              </w:rPr>
            </w:pPr>
            <w:r>
              <w:rPr>
                <w:rFonts w:ascii="Times New Roman" w:cs="Times New Roman" w:eastAsia="Times New Roman" w:hAnsi="Times New Roman"/>
                <w:sz w:val="14"/>
                <w:szCs w:val="14"/>
                <w:b w:val="1"/>
                <w:bCs w:val="1"/>
                <w:color w:val="auto"/>
              </w:rPr>
              <w:t>Price</w:t>
            </w:r>
          </w:p>
        </w:tc>
        <w:tc>
          <w:tcPr>
            <w:tcW w:w="1640" w:type="dxa"/>
            <w:vAlign w:val="bottom"/>
          </w:tcPr>
          <w:p>
            <w:pPr>
              <w:jc w:val="center"/>
              <w:ind w:left="721"/>
              <w:spacing w:after="0" w:line="15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center"/>
              <w:ind w:right="41"/>
              <w:spacing w:after="0" w:line="159" w:lineRule="exact"/>
              <w:rPr>
                <w:sz w:val="20"/>
                <w:szCs w:val="20"/>
                <w:color w:val="auto"/>
              </w:rPr>
            </w:pPr>
            <w:r>
              <w:rPr>
                <w:rFonts w:ascii="Times New Roman" w:cs="Times New Roman" w:eastAsia="Times New Roman" w:hAnsi="Times New Roman"/>
                <w:sz w:val="14"/>
                <w:szCs w:val="14"/>
                <w:b w:val="1"/>
                <w:bCs w:val="1"/>
                <w:color w:val="auto"/>
              </w:rPr>
              <w:t>Intrinsic</w:t>
            </w:r>
          </w:p>
        </w:tc>
      </w:tr>
      <w:tr>
        <w:trPr>
          <w:trHeight w:val="199"/>
        </w:trPr>
        <w:tc>
          <w:tcPr>
            <w:tcW w:w="50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1160" w:type="dxa"/>
            <w:vAlign w:val="bottom"/>
          </w:tcPr>
          <w:p>
            <w:pPr>
              <w:jc w:val="center"/>
              <w:ind w:left="4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40" w:type="dxa"/>
            <w:vAlign w:val="bottom"/>
          </w:tcPr>
          <w:p>
            <w:pPr>
              <w:jc w:val="center"/>
              <w:ind w:left="761"/>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Value (in thousands)</w:t>
            </w:r>
          </w:p>
        </w:tc>
      </w:tr>
      <w:tr>
        <w:trPr>
          <w:trHeight w:val="24"/>
        </w:trPr>
        <w:tc>
          <w:tcPr>
            <w:tcW w:w="50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3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as of December 31, 2021</w:t>
            </w:r>
          </w:p>
        </w:tc>
        <w:tc>
          <w:tcPr>
            <w:tcW w:w="15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41,775,179</w:t>
            </w:r>
          </w:p>
        </w:tc>
        <w:tc>
          <w:tcPr>
            <w:tcW w:w="1160" w:type="dxa"/>
            <w:vAlign w:val="bottom"/>
            <w:tcBorders>
              <w:bottom w:val="single" w:sz="8" w:color="CCEEFF"/>
            </w:tcBorders>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221"/>
              <w:spacing w:after="0"/>
              <w:rPr>
                <w:sz w:val="20"/>
                <w:szCs w:val="20"/>
                <w:color w:val="auto"/>
              </w:rPr>
            </w:pPr>
            <w:r>
              <w:rPr>
                <w:rFonts w:ascii="Times New Roman" w:cs="Times New Roman" w:eastAsia="Times New Roman" w:hAnsi="Times New Roman"/>
                <w:sz w:val="18"/>
                <w:szCs w:val="18"/>
                <w:color w:val="auto"/>
              </w:rPr>
              <w:t>5.05</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7.84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142,076</w:t>
            </w:r>
          </w:p>
        </w:tc>
      </w:tr>
      <w:tr>
        <w:trPr>
          <w:trHeight w:val="240"/>
        </w:trPr>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18,399,530</w:t>
            </w:r>
          </w:p>
        </w:tc>
        <w:tc>
          <w:tcPr>
            <w:tcW w:w="1160" w:type="dxa"/>
            <w:vAlign w:val="bottom"/>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221"/>
              <w:spacing w:after="0"/>
              <w:rPr>
                <w:sz w:val="20"/>
                <w:szCs w:val="20"/>
                <w:color w:val="auto"/>
              </w:rPr>
            </w:pPr>
            <w:r>
              <w:rPr>
                <w:rFonts w:ascii="Times New Roman" w:cs="Times New Roman" w:eastAsia="Times New Roman" w:hAnsi="Times New Roman"/>
                <w:sz w:val="18"/>
                <w:szCs w:val="18"/>
                <w:color w:val="auto"/>
              </w:rPr>
              <w:t>4.89</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
        </w:trPr>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5"/>
        </w:trPr>
        <w:tc>
          <w:tcPr>
            <w:tcW w:w="5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9"/>
              </w:rPr>
              <w:t>(3,600,478)</w:t>
            </w:r>
          </w:p>
        </w:tc>
        <w:tc>
          <w:tcPr>
            <w:tcW w:w="1160" w:type="dxa"/>
            <w:vAlign w:val="bottom"/>
            <w:tcBorders>
              <w:bottom w:val="single" w:sz="8" w:color="CCEEFF"/>
            </w:tcBorders>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221"/>
              <w:spacing w:after="0"/>
              <w:rPr>
                <w:sz w:val="20"/>
                <w:szCs w:val="20"/>
                <w:color w:val="auto"/>
              </w:rPr>
            </w:pPr>
            <w:r>
              <w:rPr>
                <w:rFonts w:ascii="Times New Roman" w:cs="Times New Roman" w:eastAsia="Times New Roman" w:hAnsi="Times New Roman"/>
                <w:sz w:val="18"/>
                <w:szCs w:val="18"/>
                <w:color w:val="auto"/>
              </w:rPr>
              <w:t>2.66</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0"/>
        </w:trPr>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Canceled or forfeited</w:t>
            </w:r>
          </w:p>
        </w:tc>
        <w:tc>
          <w:tcPr>
            <w:tcW w:w="15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(2,725,186)</w:t>
            </w:r>
          </w:p>
        </w:tc>
        <w:tc>
          <w:tcPr>
            <w:tcW w:w="1160" w:type="dxa"/>
            <w:vAlign w:val="bottom"/>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221"/>
              <w:spacing w:after="0"/>
              <w:rPr>
                <w:sz w:val="20"/>
                <w:szCs w:val="20"/>
                <w:color w:val="auto"/>
              </w:rPr>
            </w:pPr>
            <w:r>
              <w:rPr>
                <w:rFonts w:ascii="Times New Roman" w:cs="Times New Roman" w:eastAsia="Times New Roman" w:hAnsi="Times New Roman"/>
                <w:sz w:val="18"/>
                <w:szCs w:val="18"/>
                <w:color w:val="auto"/>
              </w:rPr>
              <w:t>6.28</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
        </w:trPr>
        <w:tc>
          <w:tcPr>
            <w:tcW w:w="50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8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as of December 31, 2022</w:t>
            </w:r>
          </w:p>
        </w:tc>
        <w:tc>
          <w:tcPr>
            <w:tcW w:w="150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53,849,045</w:t>
            </w:r>
          </w:p>
        </w:tc>
        <w:tc>
          <w:tcPr>
            <w:tcW w:w="1160" w:type="dxa"/>
            <w:vAlign w:val="bottom"/>
            <w:tcBorders>
              <w:bottom w:val="single" w:sz="8" w:color="CCEEFF"/>
            </w:tcBorders>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221"/>
              <w:spacing w:after="0"/>
              <w:rPr>
                <w:sz w:val="20"/>
                <w:szCs w:val="20"/>
                <w:color w:val="auto"/>
              </w:rPr>
            </w:pPr>
            <w:r>
              <w:rPr>
                <w:rFonts w:ascii="Times New Roman" w:cs="Times New Roman" w:eastAsia="Times New Roman" w:hAnsi="Times New Roman"/>
                <w:sz w:val="18"/>
                <w:szCs w:val="18"/>
                <w:color w:val="auto"/>
              </w:rPr>
              <w:t>5.09</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7.84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24,887</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exercisable as of December 31, 2022</w:t>
            </w:r>
          </w:p>
        </w:tc>
        <w:tc>
          <w:tcPr>
            <w:tcW w:w="15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28,115,416</w:t>
            </w:r>
          </w:p>
        </w:tc>
        <w:tc>
          <w:tcPr>
            <w:tcW w:w="1160" w:type="dxa"/>
            <w:vAlign w:val="bottom"/>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221"/>
              <w:spacing w:after="0"/>
              <w:rPr>
                <w:sz w:val="20"/>
                <w:szCs w:val="20"/>
                <w:color w:val="auto"/>
              </w:rPr>
            </w:pPr>
            <w:r>
              <w:rPr>
                <w:rFonts w:ascii="Times New Roman" w:cs="Times New Roman" w:eastAsia="Times New Roman" w:hAnsi="Times New Roman"/>
                <w:sz w:val="18"/>
                <w:szCs w:val="18"/>
                <w:color w:val="auto"/>
              </w:rPr>
              <w:t>4.43</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6.78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23,462</w:t>
            </w:r>
          </w:p>
        </w:tc>
      </w:tr>
      <w:tr>
        <w:trPr>
          <w:trHeight w:val="20"/>
        </w:trPr>
        <w:tc>
          <w:tcPr>
            <w:tcW w:w="50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80" w:lineRule="exact"/>
        <w:rPr>
          <w:sz w:val="20"/>
          <w:szCs w:val="20"/>
          <w:color w:val="auto"/>
        </w:rPr>
      </w:pPr>
    </w:p>
    <w:p>
      <w:pPr>
        <w:ind w:right="340" w:firstLine="636"/>
        <w:spacing w:after="0" w:line="274" w:lineRule="auto"/>
        <w:rPr>
          <w:sz w:val="20"/>
          <w:szCs w:val="20"/>
          <w:color w:val="auto"/>
        </w:rPr>
      </w:pPr>
      <w:r>
        <w:rPr>
          <w:rFonts w:ascii="Times New Roman" w:cs="Times New Roman" w:eastAsia="Times New Roman" w:hAnsi="Times New Roman"/>
          <w:sz w:val="18"/>
          <w:szCs w:val="18"/>
          <w:color w:val="auto"/>
        </w:rPr>
        <w:t>The fair value of stock options granted to employees, directors and consultants was estimated on the date of grant using the Black-Scholes option pricing model using the following weighted-average assumptions:</w:t>
      </w:r>
    </w:p>
    <w:p>
      <w:pPr>
        <w:spacing w:after="0" w:line="104"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34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8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38"/>
        </w:trPr>
        <w:tc>
          <w:tcPr>
            <w:tcW w:w="634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38"/>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0.80 %</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0.79 %</w:t>
            </w:r>
          </w:p>
        </w:tc>
      </w:tr>
      <w:tr>
        <w:trPr>
          <w:trHeight w:val="24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87.3 %</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w:t>
            </w:r>
          </w:p>
        </w:tc>
      </w:tr>
      <w:tr>
        <w:trPr>
          <w:trHeight w:val="25"/>
        </w:trPr>
        <w:tc>
          <w:tcPr>
            <w:tcW w:w="6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5"/>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4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06" w:lineRule="exact"/>
        <w:rPr>
          <w:sz w:val="20"/>
          <w:szCs w:val="20"/>
          <w:color w:val="auto"/>
        </w:rPr>
      </w:pPr>
    </w:p>
    <w:p>
      <w:pPr>
        <w:jc w:val="both"/>
        <w:ind w:right="40" w:firstLine="636"/>
        <w:spacing w:after="0" w:line="259"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for the years ended December 31, 2022, 2021 and 2020 was $3.60 per share, $6.59 per share and $3.36 per share, respectively. The intrinsic value of options exercised during the years ended December 31, 2022, 2021 and 2020 was $13.9 million, $16.1 million and $0.3 million, respectively.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13" w:lineRule="exact"/>
        <w:rPr>
          <w:sz w:val="20"/>
          <w:szCs w:val="20"/>
          <w:color w:val="auto"/>
        </w:rPr>
      </w:pPr>
    </w:p>
    <w:p>
      <w:pPr>
        <w:ind w:right="140" w:firstLine="636"/>
        <w:spacing w:after="0" w:line="259" w:lineRule="auto"/>
        <w:rPr>
          <w:sz w:val="20"/>
          <w:szCs w:val="20"/>
          <w:color w:val="auto"/>
        </w:rPr>
      </w:pPr>
      <w:r>
        <w:rPr>
          <w:rFonts w:ascii="Times New Roman" w:cs="Times New Roman" w:eastAsia="Times New Roman" w:hAnsi="Times New Roman"/>
          <w:sz w:val="18"/>
          <w:szCs w:val="18"/>
          <w:color w:val="auto"/>
        </w:rPr>
        <w:t>The Company has reported pre-tax operating losses for all periods presented. The Company’s net losses are derived solely from within the U.S. The Company has not reflected any benefit for corresponding tax net operating loss carryforwards in the accompanying consolidated financial statements. The Company has established a full valuation allowance against its deferred tax assets due to the uncertainty surrounding the realization of such assets.</w:t>
      </w:r>
    </w:p>
    <w:p>
      <w:pPr>
        <w:spacing w:after="0" w:line="72" w:lineRule="exact"/>
        <w:rPr>
          <w:sz w:val="20"/>
          <w:szCs w:val="20"/>
          <w:color w:val="auto"/>
        </w:rPr>
      </w:pPr>
    </w:p>
    <w:p>
      <w:pPr>
        <w:ind w:right="40" w:firstLine="636"/>
        <w:spacing w:after="0" w:line="255" w:lineRule="auto"/>
        <w:rPr>
          <w:sz w:val="20"/>
          <w:szCs w:val="20"/>
          <w:color w:val="auto"/>
        </w:rPr>
      </w:pPr>
      <w:r>
        <w:rPr>
          <w:rFonts w:ascii="Times New Roman" w:cs="Times New Roman" w:eastAsia="Times New Roman" w:hAnsi="Times New Roman"/>
          <w:sz w:val="18"/>
          <w:szCs w:val="18"/>
          <w:color w:val="auto"/>
        </w:rPr>
        <w:t>As of December 31, 2022 and 2021, the Company had U.S. federal net operating loss (“NOL”) carryforwards of approximately $383.3 million and $271.0 million, respectively, which were available to reduce future taxable income and do not expire. The Company also had U.S. state NOL carryforwards of $372.5 million that begin to expire in 2038. The Company had gross U.S. federal and state tax credits of $15.8 million and $9.8 million as of December 31, 2022 and 2021,</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Lyell Immunopharma,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2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7"/>
          <w:szCs w:val="17"/>
          <w:color w:val="auto"/>
        </w:rPr>
        <w:t>respectively, which may be used to offset future tax liabilities. The federal NOL carryforward period is indefinite, while the tax credits will begin to expire in 2039. The attributed carryforwards may become subject to annual limitations in the event of certain cumulative changes in the ownership interest of significant stockholders. This could limit the amount of tax attributes that can be utilized annually to offset future taxable income or tax liabilities.</w:t>
      </w:r>
    </w:p>
    <w:p>
      <w:pPr>
        <w:spacing w:after="0" w:line="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reconciliation of income taxes computed using the U.S. federal statutory rate to that reflected in operations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8"/>
        </w:trPr>
        <w:tc>
          <w:tcPr>
            <w:tcW w:w="632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1"/>
        </w:trPr>
        <w:tc>
          <w:tcPr>
            <w:tcW w:w="6320" w:type="dxa"/>
            <w:vAlign w:val="bottom"/>
          </w:tcPr>
          <w:p>
            <w:pPr>
              <w:spacing w:after="0"/>
              <w:rPr>
                <w:sz w:val="15"/>
                <w:szCs w:val="15"/>
                <w:color w:val="auto"/>
              </w:rPr>
            </w:pPr>
          </w:p>
        </w:tc>
        <w:tc>
          <w:tcPr>
            <w:tcW w:w="15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38"/>
        </w:trPr>
        <w:tc>
          <w:tcPr>
            <w:tcW w:w="632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38"/>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tax</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r>
      <w:tr>
        <w:trPr>
          <w:trHeight w:val="23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15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4.71</w:t>
            </w:r>
          </w:p>
        </w:tc>
      </w:tr>
      <w:tr>
        <w:trPr>
          <w:trHeight w:val="26"/>
        </w:trPr>
        <w:tc>
          <w:tcPr>
            <w:tcW w:w="6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5"/>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5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(28.89)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(22.43)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(24.60)</w:t>
            </w:r>
          </w:p>
        </w:tc>
      </w:tr>
      <w:tr>
        <w:trPr>
          <w:trHeight w:val="23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15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6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5"/>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5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(1.77)</w:t>
            </w:r>
          </w:p>
        </w:tc>
      </w:tr>
      <w:tr>
        <w:trPr>
          <w:trHeight w:val="24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5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0.99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0.95</w:t>
            </w:r>
          </w:p>
        </w:tc>
      </w:tr>
      <w:tr>
        <w:trPr>
          <w:trHeight w:val="25"/>
        </w:trPr>
        <w:tc>
          <w:tcPr>
            <w:tcW w:w="6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5"/>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(0.29)</w:t>
            </w:r>
          </w:p>
        </w:tc>
      </w:tr>
      <w:tr>
        <w:trPr>
          <w:trHeight w:val="258"/>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0"/>
        </w:trPr>
        <w:tc>
          <w:tcPr>
            <w:tcW w:w="6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92"/>
        </w:trPr>
        <w:tc>
          <w:tcPr>
            <w:tcW w:w="80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The principal components of the Company’s net deferred tax assets were as follows (in thousands):</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19"/>
        </w:trPr>
        <w:tc>
          <w:tcPr>
            <w:tcW w:w="6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5"/>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8"/>
        </w:trPr>
        <w:tc>
          <w:tcPr>
            <w:tcW w:w="63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1"/>
        </w:trPr>
        <w:tc>
          <w:tcPr>
            <w:tcW w:w="6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6320" w:type="dxa"/>
            <w:vAlign w:val="bottom"/>
            <w:tcBorders>
              <w:bottom w:val="single" w:sz="8" w:color="CCEEFF"/>
            </w:tcBorders>
          </w:tcPr>
          <w:p>
            <w:pPr>
              <w:spacing w:after="0"/>
              <w:rPr>
                <w:sz w:val="3"/>
                <w:szCs w:val="3"/>
                <w:color w:val="auto"/>
              </w:rPr>
            </w:pPr>
          </w:p>
        </w:tc>
        <w:tc>
          <w:tcPr>
            <w:tcW w:w="15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25"/>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40"/>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106,530</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70,855</w:t>
            </w:r>
          </w:p>
        </w:tc>
      </w:tr>
      <w:tr>
        <w:trPr>
          <w:trHeight w:val="25"/>
        </w:trPr>
        <w:tc>
          <w:tcPr>
            <w:tcW w:w="6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5"/>
        </w:trPr>
        <w:tc>
          <w:tcPr>
            <w:tcW w:w="6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8,338</w:t>
            </w:r>
          </w:p>
        </w:tc>
      </w:tr>
      <w:tr>
        <w:trPr>
          <w:trHeight w:val="240"/>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 and allowances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w:t>
            </w:r>
          </w:p>
        </w:tc>
      </w:tr>
      <w:tr>
        <w:trPr>
          <w:trHeight w:val="25"/>
        </w:trPr>
        <w:tc>
          <w:tcPr>
            <w:tcW w:w="6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5"/>
        </w:trPr>
        <w:tc>
          <w:tcPr>
            <w:tcW w:w="6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w:t>
            </w:r>
          </w:p>
        </w:tc>
      </w:tr>
      <w:tr>
        <w:trPr>
          <w:trHeight w:val="240"/>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15,961</w:t>
            </w:r>
          </w:p>
        </w:tc>
      </w:tr>
      <w:tr>
        <w:trPr>
          <w:trHeight w:val="25"/>
        </w:trPr>
        <w:tc>
          <w:tcPr>
            <w:tcW w:w="6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5"/>
        </w:trPr>
        <w:tc>
          <w:tcPr>
            <w:tcW w:w="6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26,199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basis difference</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13,587</w:t>
            </w:r>
          </w:p>
        </w:tc>
      </w:tr>
      <w:tr>
        <w:trPr>
          <w:trHeight w:val="25"/>
        </w:trPr>
        <w:tc>
          <w:tcPr>
            <w:tcW w:w="6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5"/>
        </w:trPr>
        <w:tc>
          <w:tcPr>
            <w:tcW w:w="6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liability</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18,429</w:t>
            </w:r>
          </w:p>
        </w:tc>
      </w:tr>
      <w:tr>
        <w:trPr>
          <w:trHeight w:val="240"/>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7,471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r>
      <w:tr>
        <w:trPr>
          <w:trHeight w:val="25"/>
        </w:trPr>
        <w:tc>
          <w:tcPr>
            <w:tcW w:w="6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5"/>
        </w:trPr>
        <w:tc>
          <w:tcPr>
            <w:tcW w:w="6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r>
      <w:tr>
        <w:trPr>
          <w:trHeight w:val="23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196,760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144,758</w:t>
            </w:r>
          </w:p>
        </w:tc>
      </w:tr>
      <w:tr>
        <w:trPr>
          <w:trHeight w:val="25"/>
        </w:trPr>
        <w:tc>
          <w:tcPr>
            <w:tcW w:w="6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5"/>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(180,132)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(127,226)</w:t>
            </w:r>
          </w:p>
        </w:tc>
      </w:tr>
      <w:tr>
        <w:trPr>
          <w:trHeight w:val="23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16,628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17,532</w:t>
            </w:r>
          </w:p>
        </w:tc>
      </w:tr>
      <w:tr>
        <w:trPr>
          <w:trHeight w:val="25"/>
        </w:trPr>
        <w:tc>
          <w:tcPr>
            <w:tcW w:w="6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5"/>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0"/>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(12,647)</w:t>
            </w:r>
          </w:p>
        </w:tc>
      </w:tr>
      <w:tr>
        <w:trPr>
          <w:trHeight w:val="25"/>
        </w:trPr>
        <w:tc>
          <w:tcPr>
            <w:tcW w:w="6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5"/>
        </w:trPr>
        <w:tc>
          <w:tcPr>
            <w:tcW w:w="6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w:t>
            </w:r>
          </w:p>
        </w:tc>
        <w:tc>
          <w:tcPr>
            <w:tcW w:w="1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(5,351)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w:t>
            </w:r>
          </w:p>
        </w:tc>
      </w:tr>
      <w:tr>
        <w:trPr>
          <w:trHeight w:val="23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(16,628)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(17,532)</w:t>
            </w:r>
          </w:p>
        </w:tc>
      </w:tr>
      <w:tr>
        <w:trPr>
          <w:trHeight w:val="25"/>
        </w:trPr>
        <w:tc>
          <w:tcPr>
            <w:tcW w:w="63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120" w:firstLine="636"/>
        <w:spacing w:after="0" w:line="251" w:lineRule="auto"/>
        <w:rPr>
          <w:sz w:val="20"/>
          <w:szCs w:val="20"/>
          <w:color w:val="auto"/>
        </w:rPr>
      </w:pPr>
      <w:r>
        <w:rPr>
          <w:rFonts w:ascii="Times New Roman" w:cs="Times New Roman" w:eastAsia="Times New Roman" w:hAnsi="Times New Roman"/>
          <w:sz w:val="18"/>
          <w:szCs w:val="18"/>
          <w:color w:val="auto"/>
        </w:rPr>
        <w:t>The Tax Cuts and Jobs Act contained a provision that requires the capitalization of Section 174 costs incurred in years beginning on or after January 1, 2022. Section 174 costs are expenditures that represent research and development costs that are incident to the development or improvement of a product, process, formula, invention, computer software or technique. This provision changes the treatment of Section 174 costs such that the expenditures are no longer allowed as an immediate deduction but rather must be capitalized and amortized over five years for domestic research and development and fifteen years for foreign research and development. The Company has included the impact of this provision, which results in a deferred tax asset of approximately $26.2 million as of December 31, 2022.</w:t>
      </w:r>
    </w:p>
    <w:p>
      <w:pPr>
        <w:spacing w:after="0" w:line="79" w:lineRule="exact"/>
        <w:rPr>
          <w:sz w:val="20"/>
          <w:szCs w:val="20"/>
          <w:color w:val="auto"/>
        </w:rPr>
      </w:pPr>
    </w:p>
    <w:p>
      <w:pPr>
        <w:ind w:right="320" w:firstLine="636"/>
        <w:spacing w:after="0" w:line="274" w:lineRule="auto"/>
        <w:rPr>
          <w:sz w:val="20"/>
          <w:szCs w:val="20"/>
          <w:color w:val="auto"/>
        </w:rPr>
      </w:pPr>
      <w:r>
        <w:rPr>
          <w:rFonts w:ascii="Times New Roman" w:cs="Times New Roman" w:eastAsia="Times New Roman" w:hAnsi="Times New Roman"/>
          <w:sz w:val="18"/>
          <w:szCs w:val="18"/>
          <w:color w:val="auto"/>
        </w:rPr>
        <w:t>The Company maintains a full valuation allowance on its net U.S. deferred tax assets. The assessment regarding whether a valuation allowance is required considers the evaluation of both positive and negative evidence when concluding</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Lyell Immunopharma,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23"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auto"/>
        </w:rPr>
        <w:t xml:space="preserve">whether it is more likely than not that deferred tax assets are realizable. In making this assessment, significant weight is given to evidence that can be objectively verified. In its evaluation, the Company considered its cumulative loss in recent years and its forecasted losses in the near-term as significant negative evidence. Based upon a review of the four sources of income identified within ASC 740,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xml:space="preserve"> (“ASC 740”), the Company determined that the negative evidence outweighed the positive evidence and a full valuation allowance on its U.S. net deferred tax assets will be maintained. The valuation allowance relates primarily to net U.S. deferred tax assets from net operating loss carryforwards, research and development tax credit carryforwards, research and development expenses capitalized and amortized for tax but deducted for GAAP and stock-based compensation.</w:t>
      </w:r>
    </w:p>
    <w:p>
      <w:pPr>
        <w:spacing w:after="0" w:line="79" w:lineRule="exact"/>
        <w:rPr>
          <w:sz w:val="20"/>
          <w:szCs w:val="20"/>
          <w:color w:val="auto"/>
        </w:rPr>
      </w:pPr>
    </w:p>
    <w:p>
      <w:pPr>
        <w:ind w:right="460" w:firstLine="636"/>
        <w:spacing w:after="0" w:line="274" w:lineRule="auto"/>
        <w:rPr>
          <w:sz w:val="20"/>
          <w:szCs w:val="20"/>
          <w:color w:val="auto"/>
        </w:rPr>
      </w:pPr>
      <w:r>
        <w:rPr>
          <w:rFonts w:ascii="Times New Roman" w:cs="Times New Roman" w:eastAsia="Times New Roman" w:hAnsi="Times New Roman"/>
          <w:sz w:val="18"/>
          <w:szCs w:val="18"/>
          <w:color w:val="auto"/>
        </w:rPr>
        <w:t>The Company will continue to assess the realizability of its deferred tax assets and adjust the valuation allowance as required by ASC 740. The increase in the valuation allowance was $52.9 million and $56.1 million for the years ended December 31, 2022 and 2021, respectively.</w:t>
      </w:r>
    </w:p>
    <w:p>
      <w:pPr>
        <w:spacing w:after="0" w:line="57" w:lineRule="exact"/>
        <w:rPr>
          <w:sz w:val="20"/>
          <w:szCs w:val="20"/>
          <w:color w:val="auto"/>
        </w:rPr>
      </w:pPr>
    </w:p>
    <w:p>
      <w:pPr>
        <w:ind w:right="300" w:firstLine="636"/>
        <w:spacing w:after="0" w:line="255" w:lineRule="auto"/>
        <w:rPr>
          <w:sz w:val="20"/>
          <w:szCs w:val="20"/>
          <w:color w:val="auto"/>
        </w:rPr>
      </w:pPr>
      <w:r>
        <w:rPr>
          <w:rFonts w:ascii="Times New Roman" w:cs="Times New Roman" w:eastAsia="Times New Roman" w:hAnsi="Times New Roman"/>
          <w:sz w:val="18"/>
          <w:szCs w:val="18"/>
          <w:color w:val="auto"/>
        </w:rPr>
        <w:t>The Company evaluates its uncertain tax positions based on a determination of whether it is more likely than not such position will be sustained based upon its technical merits and upon examination by the relevant income tax authorities with all facts known. The Company applies judgment in its measurement of an uncertain tax position recorded in its consolidated financial statements and tax return. As of December 31, 2022 and 2021, there are no penalties or accrued interest recorded in the consolidated financial statements.</w:t>
      </w:r>
    </w:p>
    <w:p>
      <w:pPr>
        <w:spacing w:after="0" w:line="74" w:lineRule="exact"/>
        <w:rPr>
          <w:sz w:val="20"/>
          <w:szCs w:val="20"/>
          <w:color w:val="auto"/>
        </w:rPr>
      </w:pPr>
    </w:p>
    <w:p>
      <w:pPr>
        <w:ind w:right="20" w:firstLine="636"/>
        <w:spacing w:after="0" w:line="274" w:lineRule="auto"/>
        <w:rPr>
          <w:sz w:val="20"/>
          <w:szCs w:val="20"/>
          <w:color w:val="auto"/>
        </w:rPr>
      </w:pPr>
      <w:r>
        <w:rPr>
          <w:rFonts w:ascii="Times New Roman" w:cs="Times New Roman" w:eastAsia="Times New Roman" w:hAnsi="Times New Roman"/>
          <w:sz w:val="18"/>
          <w:szCs w:val="18"/>
          <w:color w:val="auto"/>
        </w:rPr>
        <w:t>The Company is generally subject to examination by the U.S. federal and local income tax authorities for all tax years in which a loss carryforward is available. The Company is currently not under examination by the Internal Revenue Service or other jurisdictions for any tax years.</w:t>
      </w:r>
    </w:p>
    <w:p>
      <w:pPr>
        <w:spacing w:after="0" w:line="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summarized changes to the Company’s unrecognized tax benefits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2600" w:type="dxa"/>
            <w:vAlign w:val="bottom"/>
            <w:gridSpan w:val="4"/>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Pr>
          <w:p>
            <w:pPr>
              <w:spacing w:after="0"/>
              <w:rPr>
                <w:sz w:val="16"/>
                <w:szCs w:val="16"/>
                <w:color w:val="auto"/>
              </w:rPr>
            </w:pPr>
          </w:p>
        </w:tc>
      </w:tr>
      <w:tr>
        <w:trPr>
          <w:trHeight w:val="38"/>
        </w:trPr>
        <w:tc>
          <w:tcPr>
            <w:tcW w:w="806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181"/>
        </w:trPr>
        <w:tc>
          <w:tcPr>
            <w:tcW w:w="8060" w:type="dxa"/>
            <w:vAlign w:val="bottom"/>
          </w:tcPr>
          <w:p>
            <w:pPr>
              <w:spacing w:after="0"/>
              <w:rPr>
                <w:sz w:val="15"/>
                <w:szCs w:val="15"/>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5"/>
                <w:szCs w:val="15"/>
                <w:color w:val="auto"/>
              </w:rPr>
            </w:pPr>
          </w:p>
        </w:tc>
      </w:tr>
      <w:tr>
        <w:trPr>
          <w:trHeight w:val="38"/>
        </w:trPr>
        <w:tc>
          <w:tcPr>
            <w:tcW w:w="80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60" w:type="dxa"/>
            <w:vAlign w:val="bottom"/>
          </w:tcPr>
          <w:p>
            <w:pPr>
              <w:spacing w:after="0"/>
              <w:rPr>
                <w:sz w:val="3"/>
                <w:szCs w:val="3"/>
                <w:color w:val="auto"/>
              </w:rPr>
            </w:pPr>
          </w:p>
        </w:tc>
      </w:tr>
      <w:tr>
        <w:trPr>
          <w:trHeight w:val="245"/>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 related to the current year</w:t>
            </w:r>
          </w:p>
        </w:tc>
        <w:tc>
          <w:tcPr>
            <w:tcW w:w="98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6"/>
        </w:trPr>
        <w:tc>
          <w:tcPr>
            <w:tcW w:w="8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65"/>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based on prior year tax positions</w:t>
            </w: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58"/>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80" w:type="dxa"/>
            <w:vAlign w:val="bottom"/>
            <w:tcBorders>
              <w:top w:val="single" w:sz="8" w:color="auto"/>
              <w:bottom w:val="single" w:sz="8" w:color="auto"/>
            </w:tcBorders>
          </w:tcPr>
          <w:p>
            <w:pPr>
              <w:jc w:val="right"/>
              <w:ind w:right="80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0"/>
        </w:trPr>
        <w:tc>
          <w:tcPr>
            <w:tcW w:w="8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113" w:lineRule="exact"/>
        <w:rPr>
          <w:sz w:val="20"/>
          <w:szCs w:val="20"/>
          <w:color w:val="auto"/>
        </w:rPr>
      </w:pPr>
    </w:p>
    <w:p>
      <w:pPr>
        <w:ind w:right="100" w:firstLine="636"/>
        <w:spacing w:after="0" w:line="251" w:lineRule="auto"/>
        <w:rPr>
          <w:sz w:val="20"/>
          <w:szCs w:val="20"/>
          <w:color w:val="auto"/>
        </w:rPr>
      </w:pPr>
      <w:r>
        <w:rPr>
          <w:rFonts w:ascii="Times New Roman" w:cs="Times New Roman" w:eastAsia="Times New Roman" w:hAnsi="Times New Roman"/>
          <w:sz w:val="18"/>
          <w:szCs w:val="18"/>
          <w:color w:val="auto"/>
        </w:rPr>
        <w:t>Basic and diluted net loss per share attributed to common stockholders is calculated by dividing net loss attributed to common stockholders by the weighted-average number of common shares outstanding during the period, without consideration for common stock equivalents. The Company’s potentially dilutive shares, which include preferred stock, unvested RSAs, unvested RSUs and options to purchase common stock, are considered to be common stock equivalents and are only included in the calculation of diluted net loss per share when their effect is dilutive. Shares subject to options to purchase common stock, preferred stock, unvested RSAs and unvested RSUs were all excluded from consideration in the calculation of diluted net loss per share in all periods presented due to their anti-dilutive effects.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Benefit Plan</w:t>
      </w:r>
    </w:p>
    <w:p>
      <w:pPr>
        <w:spacing w:after="0" w:line="113" w:lineRule="exact"/>
        <w:rPr>
          <w:sz w:val="20"/>
          <w:szCs w:val="20"/>
          <w:color w:val="auto"/>
        </w:rPr>
      </w:pPr>
    </w:p>
    <w:p>
      <w:pPr>
        <w:ind w:right="140" w:firstLine="636"/>
        <w:spacing w:after="0" w:line="252" w:lineRule="auto"/>
        <w:rPr>
          <w:sz w:val="20"/>
          <w:szCs w:val="20"/>
          <w:color w:val="auto"/>
        </w:rPr>
      </w:pPr>
      <w:r>
        <w:rPr>
          <w:rFonts w:ascii="Times New Roman" w:cs="Times New Roman" w:eastAsia="Times New Roman" w:hAnsi="Times New Roman"/>
          <w:sz w:val="18"/>
          <w:szCs w:val="18"/>
          <w:color w:val="auto"/>
        </w:rPr>
        <w:t>In January 2019, the Company adopted a 401(k) retirement and savings plan (the “401(k) Plan”) covering all of its employees. The 401(k) Plan allows employees to make pre- and post-tax contributions up to the maximum allowable amount set by the IRS. Beginning in 2022, the Company sponsors a defined-contribution savings plan with matching 401(k) contributions based upon the amount of the employees’ contributions subject to certain limitations. The Company made matching contributions to the 401(k) Plan on behalf of participants of $1.0 million for the year ended December 31, 2022 and none for the years ended December 31, 2021 and 2020.</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Agreements</w:t>
      </w:r>
    </w:p>
    <w:p>
      <w:pPr>
        <w:spacing w:after="0" w:line="113"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entered into certain collaboration and license agreements, including those identified in Note 3, </w:t>
      </w:r>
      <w:r>
        <w:rPr>
          <w:rFonts w:ascii="Times New Roman" w:cs="Times New Roman" w:eastAsia="Times New Roman" w:hAnsi="Times New Roman"/>
          <w:sz w:val="18"/>
          <w:szCs w:val="18"/>
          <w:i w:val="1"/>
          <w:iCs w:val="1"/>
          <w:color w:val="auto"/>
        </w:rPr>
        <w:t>License, Collaboration and Success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Payment Agreements </w:t>
      </w:r>
      <w:r>
        <w:rPr>
          <w:rFonts w:ascii="Times New Roman" w:cs="Times New Roman" w:eastAsia="Times New Roman" w:hAnsi="Times New Roman"/>
          <w:sz w:val="18"/>
          <w:szCs w:val="18"/>
          <w:color w:val="auto"/>
        </w:rPr>
        <w:t>above, with third parties that include the funding of certain development, manufacturing and commercialization efforts with the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future milestone and royalty payments</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Lyell Immunopharma,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2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upon the achievement of pre-established developmental, regulatory and/or commercial milestones. The Company’s obligation to fund these efforts is contingent upon continued involvement in the programs and/or the lack of any adverse events that could cause the discontinuance of the programs, including termination of such agreements. Due to the nature of these agreements, the future potential payments are inherently uncertain, and accordingly no amounts had been recorded for the potential future achievement of these targets as of December 31, 2022 and 2021.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Related-Party Transactions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September 2021, the Company entered into a sublease with Sonoma, with whom the Company has common stockholders with board seats,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whereby the Company agreed to sublease approximately 18,000 square feet of space in South San Francisco, California currently leased by the Company.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Klausner, the Chair of the Company’s board of directors, also serves as a member of the board of directors of Sonoma. As a part of the sublease, 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 million tenant improvement contribution payment was made by Sonoma, which is recognized over the term of the sublease. As of December 31, 2022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2021, there were accrued liabilities and other current liabilities of $0.5 million and $0.5 million, respectively, and other non-current liabilities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 million and $4.0 million, respectively, in connection with the sublease with Sonoma. Income of $2.6 million and $1.8 million was recognized in other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net for the years ended December 31, 2022 and 2021, respectively, of which $1.9 million and $0.6 million was attributed to sublease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income for the years ended December 31, 2022 and 2021, respectively. See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more detail on the Sonoma sublease.</w:t>
      </w:r>
    </w:p>
    <w:p>
      <w:pPr>
        <w:spacing w:after="0" w:line="92" w:lineRule="exact"/>
        <w:rPr>
          <w:sz w:val="20"/>
          <w:szCs w:val="20"/>
          <w:color w:val="auto"/>
        </w:rPr>
      </w:pPr>
    </w:p>
    <w:p>
      <w:pPr>
        <w:ind w:right="180" w:firstLine="636"/>
        <w:spacing w:after="0" w:line="251" w:lineRule="auto"/>
        <w:rPr>
          <w:sz w:val="20"/>
          <w:szCs w:val="20"/>
          <w:color w:val="auto"/>
        </w:rPr>
      </w:pPr>
      <w:r>
        <w:rPr>
          <w:rFonts w:ascii="Times New Roman" w:cs="Times New Roman" w:eastAsia="Times New Roman" w:hAnsi="Times New Roman"/>
          <w:sz w:val="18"/>
          <w:szCs w:val="18"/>
          <w:color w:val="auto"/>
        </w:rPr>
        <w:t xml:space="preserve">The Company was party to the GSK Agreement, who is a holder of more than 10% of the Company’s outstanding common stock. See Note 3, </w:t>
      </w:r>
      <w:r>
        <w:rPr>
          <w:rFonts w:ascii="Times New Roman" w:cs="Times New Roman" w:eastAsia="Times New Roman" w:hAnsi="Times New Roman"/>
          <w:sz w:val="18"/>
          <w:szCs w:val="18"/>
          <w:i w:val="1"/>
          <w:iCs w:val="1"/>
          <w:color w:val="auto"/>
        </w:rPr>
        <w:t>License, Collaboration, and Success Payment Agreements</w:t>
      </w:r>
      <w:r>
        <w:rPr>
          <w:rFonts w:ascii="Times New Roman" w:cs="Times New Roman" w:eastAsia="Times New Roman" w:hAnsi="Times New Roman"/>
          <w:sz w:val="18"/>
          <w:szCs w:val="18"/>
          <w:color w:val="auto"/>
        </w:rPr>
        <w:t>. Deferred revenue of zero and $5.0 million as of December 31, 2022 and 2021, respectively,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deferred revenue, non-current of zero and $79.7 million as of December 31, 2022 and 2021, respectively, were in connection with the GSK Agreement. Revenue recognized in connection with the GSK agreement was $84.7 million, $10.5 million and $7.8 million for the years ended December 31, 2022, 2021 and 2020, respectively. GSK terminated the GSK Agreement effective December 24, 2022. See Note 3, </w:t>
      </w:r>
      <w:r>
        <w:rPr>
          <w:rFonts w:ascii="Times New Roman" w:cs="Times New Roman" w:eastAsia="Times New Roman" w:hAnsi="Times New Roman"/>
          <w:sz w:val="18"/>
          <w:szCs w:val="18"/>
          <w:i w:val="1"/>
          <w:iCs w:val="1"/>
          <w:color w:val="auto"/>
        </w:rPr>
        <w:t>License, Collaboration, and Success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Agreements, </w:t>
      </w:r>
      <w:r>
        <w:rPr>
          <w:rFonts w:ascii="Times New Roman" w:cs="Times New Roman" w:eastAsia="Times New Roman" w:hAnsi="Times New Roman"/>
          <w:sz w:val="18"/>
          <w:szCs w:val="18"/>
          <w:color w:val="auto"/>
        </w:rPr>
        <w:t>for additional details regarding the termination of the GSK Agreement.</w:t>
      </w:r>
    </w:p>
    <w:p>
      <w:pPr>
        <w:spacing w:after="0" w:line="79"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 xml:space="preserve">In March 2020, the Company repurchased 546,806 shares of its Series A convertible preferred stock and 2,032,166 shares of its common stock from a related party. See Note 10, </w:t>
      </w:r>
      <w:r>
        <w:rPr>
          <w:rFonts w:ascii="Times New Roman" w:cs="Times New Roman" w:eastAsia="Times New Roman" w:hAnsi="Times New Roman"/>
          <w:sz w:val="18"/>
          <w:szCs w:val="18"/>
          <w:i w:val="1"/>
          <w:iCs w:val="1"/>
          <w:color w:val="auto"/>
        </w:rPr>
        <w:t>Convertible Preferred Stock</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Asset Acquisition</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May 2020, the Company completed the acquisition of 100% of the outstanding equity of Immulus, Inc. (“Immulus”), a company focused 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developing technology platforms that enable the development and production of cell therapeutics. As consideration for the acquisition, the Company paid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$3.5 million in cash and issued an aggregate of 688,463 shares of its common stock, with an estimated fair value of $4.0 million. The Company also incurred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$0.5 million of direct expenses, for total consideration of $8.0 million.</w:t>
      </w:r>
    </w:p>
    <w:p>
      <w:pPr>
        <w:spacing w:after="0" w:line="92" w:lineRule="exact"/>
        <w:rPr>
          <w:sz w:val="20"/>
          <w:szCs w:val="20"/>
          <w:color w:val="auto"/>
        </w:rPr>
      </w:pPr>
    </w:p>
    <w:p>
      <w:pPr>
        <w:ind w:right="220" w:firstLine="636"/>
        <w:spacing w:after="0" w:line="259" w:lineRule="auto"/>
        <w:rPr>
          <w:sz w:val="20"/>
          <w:szCs w:val="20"/>
          <w:color w:val="auto"/>
        </w:rPr>
      </w:pPr>
      <w:r>
        <w:rPr>
          <w:rFonts w:ascii="Times New Roman" w:cs="Times New Roman" w:eastAsia="Times New Roman" w:hAnsi="Times New Roman"/>
          <w:sz w:val="18"/>
          <w:szCs w:val="18"/>
          <w:color w:val="auto"/>
        </w:rPr>
        <w:t>The Company concluded the acquisition did not meet the accounting definition of a business as inputs were acquired, but no processes or outputs were acquired. Consequently, the Company accounted for the transaction as an asset acquisition with the value concentrated in IPR&amp;D. The following table summarizes the fair value of assets acquired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4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 (IPR&amp;D)</w:t>
            </w: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7,528</w:t>
            </w:r>
          </w:p>
        </w:tc>
      </w:tr>
      <w:tr>
        <w:trPr>
          <w:trHeight w:val="25"/>
        </w:trPr>
        <w:tc>
          <w:tcPr>
            <w:tcW w:w="97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3"/>
        </w:trPr>
        <w:tc>
          <w:tcPr>
            <w:tcW w:w="9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 acquired</w:t>
            </w: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right="60" w:firstLine="636"/>
        <w:spacing w:after="0" w:line="274" w:lineRule="auto"/>
        <w:rPr>
          <w:sz w:val="20"/>
          <w:szCs w:val="20"/>
          <w:color w:val="auto"/>
        </w:rPr>
      </w:pPr>
      <w:r>
        <w:rPr>
          <w:rFonts w:ascii="Times New Roman" w:cs="Times New Roman" w:eastAsia="Times New Roman" w:hAnsi="Times New Roman"/>
          <w:sz w:val="18"/>
          <w:szCs w:val="18"/>
          <w:color w:val="auto"/>
        </w:rPr>
        <w:t>The amount allocated to the IPR&amp;D asset was charged to research and development expenses for the year ended December 31, 2020 as this asset had no alternative future use at the time of the acquisition transaction.</w:t>
      </w:r>
    </w:p>
    <w:p>
      <w:pPr>
        <w:spacing w:after="0" w:line="57" w:lineRule="exact"/>
        <w:rPr>
          <w:sz w:val="20"/>
          <w:szCs w:val="20"/>
          <w:color w:val="auto"/>
        </w:rPr>
      </w:pPr>
    </w:p>
    <w:p>
      <w:pPr>
        <w:ind w:right="80" w:firstLine="636"/>
        <w:spacing w:after="0" w:line="259" w:lineRule="auto"/>
        <w:rPr>
          <w:sz w:val="20"/>
          <w:szCs w:val="20"/>
          <w:color w:val="auto"/>
        </w:rPr>
      </w:pPr>
      <w:r>
        <w:rPr>
          <w:rFonts w:ascii="Times New Roman" w:cs="Times New Roman" w:eastAsia="Times New Roman" w:hAnsi="Times New Roman"/>
          <w:sz w:val="18"/>
          <w:szCs w:val="18"/>
          <w:color w:val="auto"/>
        </w:rPr>
        <w:t>In addition, the Company is also required to make milestone payments of up to $37.0 million to the former stockholders of Immulus upon successful completion of specified development milestones. Triggering of these milestones payments was not considered probable as of the date of the acquisition, and no expense has been recorded for these milestones for the years ended December 31, 2022, 2021 and 2020.</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13" w:lineRule="exact"/>
        <w:rPr>
          <w:sz w:val="20"/>
          <w:szCs w:val="20"/>
          <w:color w:val="auto"/>
        </w:rPr>
      </w:pPr>
    </w:p>
    <w:p>
      <w:pPr>
        <w:ind w:firstLine="636"/>
        <w:spacing w:after="0" w:line="252" w:lineRule="auto"/>
        <w:rPr>
          <w:sz w:val="20"/>
          <w:szCs w:val="20"/>
          <w:color w:val="auto"/>
        </w:rPr>
      </w:pPr>
      <w:r>
        <w:rPr>
          <w:rFonts w:ascii="Times New Roman" w:cs="Times New Roman" w:eastAsia="Times New Roman" w:hAnsi="Times New Roman"/>
          <w:sz w:val="18"/>
          <w:szCs w:val="18"/>
          <w:color w:val="auto"/>
        </w:rPr>
        <w:t>As of December 31, 2022, management, with the participation and supervision of our Chief Executive Officer and Chief Financial Officer, have evaluated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w:t>
      </w:r>
    </w:p>
    <w:p>
      <w:pPr>
        <w:spacing w:after="0" w:line="79" w:lineRule="exact"/>
        <w:rPr>
          <w:sz w:val="20"/>
          <w:szCs w:val="20"/>
          <w:color w:val="auto"/>
        </w:rPr>
      </w:pPr>
    </w:p>
    <w:p>
      <w:pPr>
        <w:jc w:val="both"/>
        <w:ind w:right="380" w:firstLine="636"/>
        <w:spacing w:after="0" w:line="255" w:lineRule="auto"/>
        <w:rPr>
          <w:sz w:val="20"/>
          <w:szCs w:val="20"/>
          <w:color w:val="auto"/>
        </w:rPr>
      </w:pPr>
      <w:r>
        <w:rPr>
          <w:rFonts w:ascii="Times New Roman" w:cs="Times New Roman" w:eastAsia="Times New Roman" w:hAnsi="Times New Roman"/>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December 31, 2022, the design and operation of our disclosure controls and procedures were effective at a reasonable assurance level.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Controls and Procedures</w:t>
      </w:r>
    </w:p>
    <w:p>
      <w:pPr>
        <w:spacing w:after="0" w:line="113" w:lineRule="exact"/>
        <w:rPr>
          <w:sz w:val="20"/>
          <w:szCs w:val="20"/>
          <w:color w:val="auto"/>
        </w:rPr>
      </w:pPr>
    </w:p>
    <w:p>
      <w:pPr>
        <w:ind w:right="20" w:firstLine="636"/>
        <w:spacing w:after="0" w:line="248" w:lineRule="auto"/>
        <w:rPr>
          <w:sz w:val="20"/>
          <w:szCs w:val="20"/>
          <w:color w:val="auto"/>
        </w:rPr>
      </w:pPr>
      <w:r>
        <w:rPr>
          <w:rFonts w:ascii="Times New Roman" w:cs="Times New Roman" w:eastAsia="Times New Roman" w:hAnsi="Times New Roman"/>
          <w:sz w:val="18"/>
          <w:szCs w:val="18"/>
          <w:color w:val="auto"/>
        </w:rPr>
        <w:t>Our management, including the principal executive officer and principal financial officer, does not expect that our disclosure controls and procedures and our internal control over financial reporting will prevent all error and all fraud. A control system, no matter how well designed and operated, can only provide reasonable assurances that the objectives of the control system are met. The design of a control system reflects resource constraints; the benefits of controls must be considered relative to their costs. Because there are inherent limitations in all control systems, no evaluation of controls can provide absolute assurance that all control issues and instances of fraud, if any, for our company have been or will be detected. As these inherent limitations are known features of the disclosure and financial reporting processes, it is possible to design into the processes safeguards to reduce, though not eliminate, these risks. These inherent limitations include the realities that judgments in decision-making can be faulty and that breakdowns occur because of simple error or mistake. Controls can also be circumvented by the individual acts of some persons, by collusion of two or more people, or by management override of the control. The design of any system of controls is based in part upon certain assumptions about the likelihood of future events. While our disclosure controls and procedures and our internal control over financial reporting are designed to provide reasonable assurance of achieving their objectives, there can be no assurance that any design will succeed in achieving its stated goals under all future conditions. Over time, controls may become inadequate because of changes in conditions or deterioration in the degree of compliance with the policies or procedures. Because of the inherent limitations in a cost-effective control system, misstatements due to error or fraud may occur and not be detected.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13" w:lineRule="exact"/>
        <w:rPr>
          <w:sz w:val="20"/>
          <w:szCs w:val="20"/>
          <w:color w:val="auto"/>
        </w:rPr>
      </w:pPr>
    </w:p>
    <w:p>
      <w:pPr>
        <w:ind w:right="80" w:firstLine="636"/>
        <w:spacing w:after="0" w:line="25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an adequate internal control over financial reporting (as such term is defined in Rules 13a-15(f) and 15d-15(f) of the Exchange Act) for our company. Our management, including our Chief Executive Officer and Chief Financial Officer, conducted an evaluation of the effectiveness of our internal control over financial reporting based on the framework set forth in “Internal Control—Integrated Framework” issued by the Committee of Sponsoring Organizations of the Treadway Commission (2013 framework). Based on an evaluation under that framework, our management concluded that our internal control over financial reporting was effective at the reasonable assurance level as of December 31, 2022.</w:t>
      </w:r>
    </w:p>
    <w:p>
      <w:pPr>
        <w:spacing w:after="0" w:line="79" w:lineRule="exact"/>
        <w:rPr>
          <w:sz w:val="20"/>
          <w:szCs w:val="20"/>
          <w:color w:val="auto"/>
        </w:rPr>
      </w:pPr>
    </w:p>
    <w:p>
      <w:pPr>
        <w:ind w:right="160" w:firstLine="636"/>
        <w:spacing w:after="0" w:line="274"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2022 has been audited by Ernst &amp; Young LLP, an independent registered public accounting firm, as stated in their report in Part II, Item 8 of this Annual Report on Form 10-K.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13" w:lineRule="exact"/>
        <w:rPr>
          <w:sz w:val="20"/>
          <w:szCs w:val="20"/>
          <w:color w:val="auto"/>
        </w:rPr>
      </w:pPr>
    </w:p>
    <w:p>
      <w:pPr>
        <w:ind w:right="40" w:firstLine="636"/>
        <w:spacing w:after="0" w:line="274"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December 31, 2022 that has materially affected, or is reasonably likely to materially affect, our internal control over financial reporting.</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320" w:firstLine="3407"/>
        <w:spacing w:after="0" w:line="430"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Lyell Immunopharma, Inc.</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1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have audited Lyell Immunopharma, Inc.’s internal control over financial reporting as of December 31, 2022, based on criteria established in Internal Control—Integrated Framework issued by the Committee of Sponsoring Organizations of the Treadway Commission (2013 framework) (the COSO criteria). In our opinion, Lyell Immunopharma, Inc. (the Company) maintained, in all material respects, effective internal control over financial reporting as of December 31, 2022, based on the COSO criteria.</w:t>
      </w:r>
    </w:p>
    <w:p>
      <w:pPr>
        <w:spacing w:after="0" w:line="7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operations and comprehensive loss, convertible preferred stock and stockholder’s equity (deficit) and cash flows for each of the three years in the period ended December 31, 2022, and the related notes and our report dated February 28, 2023 expressed an unqualified opinion thereon.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13"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7" w:lineRule="exact"/>
        <w:rPr>
          <w:sz w:val="20"/>
          <w:szCs w:val="20"/>
          <w:color w:val="auto"/>
        </w:rPr>
      </w:pPr>
    </w:p>
    <w:p>
      <w:pPr>
        <w:jc w:val="both"/>
        <w:ind w:right="440"/>
        <w:spacing w:after="0" w:line="259"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1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19" w:lineRule="exact"/>
        <w:rPr>
          <w:sz w:val="20"/>
          <w:szCs w:val="20"/>
          <w:color w:val="auto"/>
        </w:rPr>
      </w:pPr>
    </w:p>
    <w:p>
      <w:pPr>
        <w:ind w:right="200" w:firstLine="636"/>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2023 Annual Meeting of Stockholders to be filed with the SEC within 120 days of the fiscal year ended December 31, 2022.</w:t>
      </w:r>
    </w:p>
    <w:p>
      <w:pPr>
        <w:spacing w:after="0" w:line="57" w:lineRule="exact"/>
        <w:rPr>
          <w:sz w:val="20"/>
          <w:szCs w:val="20"/>
          <w:color w:val="auto"/>
        </w:rPr>
      </w:pPr>
    </w:p>
    <w:p>
      <w:pPr>
        <w:ind w:firstLine="636"/>
        <w:spacing w:after="0" w:line="271" w:lineRule="auto"/>
        <w:rPr>
          <w:sz w:val="20"/>
          <w:szCs w:val="20"/>
          <w:color w:val="auto"/>
        </w:rPr>
      </w:pPr>
      <w:r>
        <w:rPr>
          <w:rFonts w:ascii="Times New Roman" w:cs="Times New Roman" w:eastAsia="Times New Roman" w:hAnsi="Times New Roman"/>
          <w:sz w:val="17"/>
          <w:szCs w:val="17"/>
          <w:color w:val="auto"/>
        </w:rPr>
        <w:t>Our Code of Business Conduct and Ethics applies to all of our employees, officers and directors. This includes our principal executive officer, principal financial officer and principal accounting officer or controller, or persons performing similar functions. The full text of our Code of Business Conduct and Ethics may be viewed at the investors relations portion of our website at https://ir.lyell.com, in the section entitled “Governance Highlights” under “Corporate Governance.” We intend to satisfy the disclosure requirements under Item 5.05 of the SEC Form 8-K regarding an amendment to, or waiver from, a provision of our Code of Business Conduct and Ethics by posting such information on our website at the website address and location specified above.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19" w:lineRule="exact"/>
        <w:rPr>
          <w:sz w:val="20"/>
          <w:szCs w:val="20"/>
          <w:color w:val="auto"/>
        </w:rPr>
      </w:pPr>
    </w:p>
    <w:p>
      <w:pPr>
        <w:ind w:right="200" w:firstLine="636"/>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2023 Annual Meeting of Stockholders to be filed with the SEC within 120 days of the fiscal year ended December 31, 2022.</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19" w:lineRule="exact"/>
        <w:rPr>
          <w:sz w:val="20"/>
          <w:szCs w:val="20"/>
          <w:color w:val="auto"/>
        </w:rPr>
      </w:pPr>
    </w:p>
    <w:p>
      <w:pPr>
        <w:ind w:right="200" w:firstLine="636"/>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2023 Annual Meeting of Stockholders to be filed with the SEC within 120 days of the fiscal year ended December 31, 2022.</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19" w:lineRule="exact"/>
        <w:rPr>
          <w:sz w:val="20"/>
          <w:szCs w:val="20"/>
          <w:color w:val="auto"/>
        </w:rPr>
      </w:pPr>
    </w:p>
    <w:p>
      <w:pPr>
        <w:ind w:right="200" w:firstLine="636"/>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2023 Annual Meeting of Stockholders to be filed with the SEC within 120 days of the fiscal year ended December 31, 2022.</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19" w:lineRule="exact"/>
        <w:rPr>
          <w:sz w:val="20"/>
          <w:szCs w:val="20"/>
          <w:color w:val="auto"/>
        </w:rPr>
      </w:pPr>
    </w:p>
    <w:p>
      <w:pPr>
        <w:ind w:right="200" w:firstLine="636"/>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2023 Annual Meeting of Stockholders to be filed with the SEC within 120 days of the fiscal year ended December 31, 2022.</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219" w:lineRule="exact"/>
        <w:rPr>
          <w:sz w:val="20"/>
          <w:szCs w:val="20"/>
          <w:color w:val="auto"/>
        </w:rPr>
      </w:pPr>
    </w:p>
    <w:p>
      <w:pPr>
        <w:ind w:left="640" w:hanging="316"/>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being filed as part of this report:</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and the Report of Independent Registered Public Accounting Firm are included in Part II, Item 8:</w:t>
      </w:r>
    </w:p>
    <w:p>
      <w:pPr>
        <w:spacing w:after="0" w:line="56" w:lineRule="exact"/>
        <w:rPr>
          <w:rFonts w:ascii="Times New Roman" w:cs="Times New Roman" w:eastAsia="Times New Roman" w:hAnsi="Times New Roman"/>
          <w:sz w:val="18"/>
          <w:szCs w:val="18"/>
          <w:color w:val="auto"/>
        </w:rPr>
      </w:pPr>
    </w:p>
    <w:p>
      <w:pPr>
        <w:ind w:left="9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33020</wp:posOffset>
            </wp:positionV>
            <wp:extent cx="89217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92175" cy="8255"/>
                    </a:xfrm>
                    <a:prstGeom prst="rect">
                      <a:avLst/>
                    </a:prstGeom>
                    <a:noFill/>
                  </pic:spPr>
                </pic:pic>
              </a:graphicData>
            </a:graphic>
          </wp:anchor>
        </w:drawing>
      </w:r>
    </w:p>
    <w:p>
      <w:pPr>
        <w:spacing w:after="0" w:line="37"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1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Report of Independent Registered Public Accounting Firm</w:t>
            </w:r>
          </w:p>
        </w:tc>
        <w:tc>
          <w:tcPr>
            <w:tcW w:w="3580" w:type="dxa"/>
            <w:vAlign w:val="bottom"/>
            <w:gridSpan w:val="3"/>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86</w:t>
            </w:r>
          </w:p>
        </w:tc>
      </w:tr>
      <w:tr>
        <w:trPr>
          <w:trHeight w:val="245"/>
        </w:trPr>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88</w:t>
            </w:r>
          </w:p>
        </w:tc>
      </w:tr>
      <w:tr>
        <w:trPr>
          <w:trHeight w:val="20"/>
        </w:trPr>
        <w:tc>
          <w:tcPr>
            <w:tcW w:w="20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5"/>
        </w:trPr>
        <w:tc>
          <w:tcPr>
            <w:tcW w:w="46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Consolidated Statements of Operations and Comprehensive Loss</w:t>
            </w:r>
          </w:p>
        </w:tc>
        <w:tc>
          <w:tcPr>
            <w:tcW w:w="3120" w:type="dxa"/>
            <w:vAlign w:val="bottom"/>
            <w:gridSpan w:val="2"/>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89</w:t>
            </w:r>
          </w:p>
        </w:tc>
      </w:tr>
      <w:tr>
        <w:trPr>
          <w:trHeight w:val="245"/>
        </w:trPr>
        <w:tc>
          <w:tcPr>
            <w:tcW w:w="64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Consolidated Statements of Convertible Preferred Stock and Stockholders’ Equity (Deficit)</w:t>
            </w:r>
          </w:p>
        </w:tc>
        <w:tc>
          <w:tcPr>
            <w:tcW w:w="126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90</w:t>
            </w:r>
          </w:p>
        </w:tc>
      </w:tr>
      <w:tr>
        <w:trPr>
          <w:trHeight w:val="245"/>
        </w:trPr>
        <w:tc>
          <w:tcPr>
            <w:tcW w:w="2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Consolidated Statements of Cash Flows</w:t>
            </w:r>
          </w:p>
        </w:tc>
        <w:tc>
          <w:tcPr>
            <w:tcW w:w="4900" w:type="dxa"/>
            <w:vAlign w:val="bottom"/>
            <w:gridSpan w:val="5"/>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91</w:t>
            </w:r>
          </w:p>
        </w:tc>
      </w:tr>
      <w:tr>
        <w:trPr>
          <w:trHeight w:val="245"/>
        </w:trPr>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92</w:t>
            </w:r>
          </w:p>
        </w:tc>
      </w:tr>
      <w:tr>
        <w:trPr>
          <w:trHeight w:val="20"/>
        </w:trPr>
        <w:tc>
          <w:tcPr>
            <w:tcW w:w="20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33" w:lineRule="exact"/>
        <w:rPr>
          <w:sz w:val="20"/>
          <w:szCs w:val="20"/>
          <w:color w:val="auto"/>
        </w:rPr>
      </w:pPr>
    </w:p>
    <w:p>
      <w:pPr>
        <w:ind w:left="960" w:right="620" w:hanging="318"/>
        <w:spacing w:after="0" w:line="274" w:lineRule="auto"/>
        <w:tabs>
          <w:tab w:leader="none" w:pos="95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 schedules are omitted because the information is inapplicable or presented in the Notes to Consolidated Financial Statements.</w:t>
      </w:r>
    </w:p>
    <w:p>
      <w:pPr>
        <w:spacing w:after="0" w:line="5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filed as part of this report.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38"/>
        </w:trPr>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r>
      <w:tr>
        <w:trPr>
          <w:trHeight w:val="154"/>
        </w:trPr>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60"/>
              <w:spacing w:after="0" w:line="154" w:lineRule="exact"/>
              <w:rPr>
                <w:sz w:val="20"/>
                <w:szCs w:val="20"/>
                <w:color w:val="auto"/>
              </w:rPr>
            </w:pPr>
            <w:r>
              <w:rPr>
                <w:rFonts w:ascii="Times New Roman" w:cs="Times New Roman" w:eastAsia="Times New Roman" w:hAnsi="Times New Roman"/>
                <w:sz w:val="14"/>
                <w:szCs w:val="14"/>
                <w:b w:val="1"/>
                <w:bCs w:val="1"/>
                <w:color w:val="auto"/>
                <w:w w:val="99"/>
              </w:rPr>
              <w:t>Exhibit/</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59"/>
        </w:trPr>
        <w:tc>
          <w:tcPr>
            <w:tcW w:w="320" w:type="dxa"/>
            <w:vAlign w:val="bottom"/>
          </w:tcPr>
          <w:p>
            <w:pPr>
              <w:spacing w:after="0"/>
              <w:rPr>
                <w:sz w:val="13"/>
                <w:szCs w:val="13"/>
                <w:color w:val="auto"/>
              </w:rPr>
            </w:pPr>
          </w:p>
        </w:tc>
        <w:tc>
          <w:tcPr>
            <w:tcW w:w="106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80"/>
              <w:spacing w:after="0" w:line="159" w:lineRule="exact"/>
              <w:rPr>
                <w:sz w:val="20"/>
                <w:szCs w:val="20"/>
                <w:color w:val="auto"/>
              </w:rPr>
            </w:pPr>
            <w:r>
              <w:rPr>
                <w:rFonts w:ascii="Times New Roman" w:cs="Times New Roman" w:eastAsia="Times New Roman" w:hAnsi="Times New Roman"/>
                <w:sz w:val="14"/>
                <w:szCs w:val="14"/>
                <w:b w:val="1"/>
                <w:bCs w:val="1"/>
                <w:color w:val="auto"/>
                <w:w w:val="99"/>
              </w:rPr>
              <w:t>Appendix</w:t>
            </w:r>
          </w:p>
        </w:tc>
        <w:tc>
          <w:tcPr>
            <w:tcW w:w="114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Filing</w:t>
            </w:r>
          </w:p>
        </w:tc>
        <w:tc>
          <w:tcPr>
            <w:tcW w:w="1260" w:type="dxa"/>
            <w:vAlign w:val="bottom"/>
            <w:gridSpan w:val="2"/>
          </w:tcPr>
          <w:p>
            <w:pPr>
              <w:jc w:val="center"/>
              <w:ind w:right="400"/>
              <w:spacing w:after="0" w:line="159" w:lineRule="exact"/>
              <w:rPr>
                <w:sz w:val="20"/>
                <w:szCs w:val="20"/>
                <w:color w:val="auto"/>
              </w:rPr>
            </w:pPr>
            <w:r>
              <w:rPr>
                <w:rFonts w:ascii="Times New Roman" w:cs="Times New Roman" w:eastAsia="Times New Roman" w:hAnsi="Times New Roman"/>
                <w:sz w:val="14"/>
                <w:szCs w:val="14"/>
                <w:b w:val="1"/>
                <w:bCs w:val="1"/>
                <w:color w:val="auto"/>
                <w:w w:val="98"/>
              </w:rPr>
              <w:t>Filed</w:t>
            </w:r>
          </w:p>
        </w:tc>
      </w:tr>
      <w:tr>
        <w:trPr>
          <w:trHeight w:val="199"/>
        </w:trPr>
        <w:tc>
          <w:tcPr>
            <w:tcW w:w="320" w:type="dxa"/>
            <w:vAlign w:val="bottom"/>
          </w:tcPr>
          <w:p>
            <w:pPr>
              <w:spacing w:after="0"/>
              <w:rPr>
                <w:sz w:val="17"/>
                <w:szCs w:val="17"/>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20" w:type="dxa"/>
            <w:vAlign w:val="bottom"/>
            <w:gridSpan w:val="20"/>
          </w:tcPr>
          <w:p>
            <w:pPr>
              <w:ind w:left="3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Herewith</w:t>
            </w:r>
          </w:p>
        </w:tc>
      </w:tr>
      <w:tr>
        <w:trPr>
          <w:trHeight w:val="38"/>
        </w:trPr>
        <w:tc>
          <w:tcPr>
            <w:tcW w:w="3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r>
      <w:tr>
        <w:trPr>
          <w:trHeight w:val="192"/>
        </w:trPr>
        <w:tc>
          <w:tcPr>
            <w:tcW w:w="1300" w:type="dxa"/>
            <w:vAlign w:val="bottom"/>
            <w:gridSpan w:val="2"/>
          </w:tcPr>
          <w:p>
            <w:pPr>
              <w:jc w:val="center"/>
              <w:ind w:left="232"/>
              <w:spacing w:after="0" w:line="192" w:lineRule="exact"/>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60" w:type="dxa"/>
            <w:vAlign w:val="bottom"/>
            <w:gridSpan w:val="22"/>
          </w:tcPr>
          <w:p>
            <w:pPr>
              <w:spacing w:after="0" w:line="192"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Amended and Restated Certificate of Incorporation.</w:t>
              </w:r>
            </w:hyperlink>
          </w:p>
        </w:tc>
        <w:tc>
          <w:tcPr>
            <w:tcW w:w="860" w:type="dxa"/>
            <w:vAlign w:val="bottom"/>
            <w:gridSpan w:val="2"/>
          </w:tcPr>
          <w:p>
            <w:pPr>
              <w:jc w:val="center"/>
              <w:ind w:right="140"/>
              <w:spacing w:after="0" w:line="192" w:lineRule="exact"/>
              <w:rPr>
                <w:sz w:val="20"/>
                <w:szCs w:val="20"/>
                <w:color w:val="auto"/>
              </w:rPr>
            </w:pPr>
            <w:r>
              <w:rPr>
                <w:rFonts w:ascii="Times New Roman" w:cs="Times New Roman" w:eastAsia="Times New Roman" w:hAnsi="Times New Roman"/>
                <w:sz w:val="18"/>
                <w:szCs w:val="18"/>
                <w:color w:val="auto"/>
                <w:w w:val="95"/>
              </w:rPr>
              <w:t>S-8</w:t>
            </w:r>
          </w:p>
        </w:tc>
        <w:tc>
          <w:tcPr>
            <w:tcW w:w="126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333-257249</w:t>
            </w:r>
          </w:p>
        </w:tc>
        <w:tc>
          <w:tcPr>
            <w:tcW w:w="100" w:type="dxa"/>
            <w:vAlign w:val="bottom"/>
          </w:tcPr>
          <w:p>
            <w:pPr>
              <w:spacing w:after="0"/>
              <w:rPr>
                <w:sz w:val="16"/>
                <w:szCs w:val="16"/>
                <w:color w:val="auto"/>
              </w:rPr>
            </w:pPr>
          </w:p>
        </w:tc>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16"/>
                <w:szCs w:val="16"/>
                <w:color w:val="auto"/>
              </w:rPr>
            </w:pPr>
          </w:p>
        </w:tc>
        <w:tc>
          <w:tcPr>
            <w:tcW w:w="104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6/21/2021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45"/>
        </w:trPr>
        <w:tc>
          <w:tcPr>
            <w:tcW w:w="13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60" w:type="dxa"/>
            <w:vAlign w:val="bottom"/>
            <w:tcBorders>
              <w:top w:val="single" w:sz="8" w:color="0000FF"/>
              <w:bottom w:val="single" w:sz="8" w:color="0000FF"/>
            </w:tcBorders>
            <w:gridSpan w:val="6"/>
          </w:tcPr>
          <w:p>
            <w:pPr>
              <w:spacing w:after="0"/>
              <w:rPr>
                <w:rFonts w:ascii="Times New Roman" w:cs="Times New Roman" w:eastAsia="Times New Roman" w:hAnsi="Times New Roman"/>
                <w:sz w:val="18"/>
                <w:szCs w:val="18"/>
                <w:color w:val="0000FF"/>
                <w:w w:val="97"/>
              </w:rPr>
            </w:pPr>
            <w:hyperlink r:id="rId171">
              <w:r>
                <w:rPr>
                  <w:rFonts w:ascii="Times New Roman" w:cs="Times New Roman" w:eastAsia="Times New Roman" w:hAnsi="Times New Roman"/>
                  <w:sz w:val="18"/>
                  <w:szCs w:val="18"/>
                  <w:color w:val="0000FF"/>
                  <w:w w:val="97"/>
                </w:rPr>
                <w:t>Amended and Restated Bylaws.</w:t>
              </w:r>
            </w:hyperlink>
          </w:p>
        </w:tc>
        <w:tc>
          <w:tcPr>
            <w:tcW w:w="1400" w:type="dxa"/>
            <w:vAlign w:val="bottom"/>
            <w:tcBorders>
              <w:top w:val="single" w:sz="8" w:color="0000FF"/>
            </w:tcBorders>
            <w:gridSpan w:val="10"/>
          </w:tcPr>
          <w:p>
            <w:pPr>
              <w:spacing w:after="0"/>
              <w:rPr>
                <w:sz w:val="21"/>
                <w:szCs w:val="21"/>
                <w:color w:val="auto"/>
              </w:rPr>
            </w:pPr>
          </w:p>
        </w:tc>
        <w:tc>
          <w:tcPr>
            <w:tcW w:w="400" w:type="dxa"/>
            <w:vAlign w:val="bottom"/>
            <w:gridSpan w:val="6"/>
          </w:tcPr>
          <w:p>
            <w:pPr>
              <w:spacing w:after="0"/>
              <w:rPr>
                <w:sz w:val="21"/>
                <w:szCs w:val="21"/>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S-8</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333-257249</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6/21/2021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45"/>
        </w:trPr>
        <w:tc>
          <w:tcPr>
            <w:tcW w:w="13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7"/>
              </w:rPr>
            </w:pPr>
            <w:hyperlink r:id="rId172">
              <w:r>
                <w:rPr>
                  <w:rFonts w:ascii="Times New Roman" w:cs="Times New Roman" w:eastAsia="Times New Roman" w:hAnsi="Times New Roman"/>
                  <w:sz w:val="18"/>
                  <w:szCs w:val="18"/>
                  <w:color w:val="0000FF"/>
                  <w:w w:val="97"/>
                </w:rPr>
                <w:t>Form of Common Stock Certificate.</w:t>
              </w:r>
            </w:hyperlink>
          </w:p>
        </w:tc>
        <w:tc>
          <w:tcPr>
            <w:tcW w:w="1500" w:type="dxa"/>
            <w:vAlign w:val="bottom"/>
            <w:gridSpan w:val="14"/>
          </w:tcPr>
          <w:p>
            <w:pPr>
              <w:spacing w:after="0"/>
              <w:rPr>
                <w:sz w:val="21"/>
                <w:szCs w:val="21"/>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333-256470</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6/9/2021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45"/>
        </w:trPr>
        <w:tc>
          <w:tcPr>
            <w:tcW w:w="13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auto"/>
                <w:w w:val="97"/>
              </w:rPr>
              <w:t>4.2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60" w:type="dxa"/>
            <w:vAlign w:val="bottom"/>
            <w:gridSpan w:val="22"/>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Amended and Restated Investors’ Rights Agreement,</w:t>
              </w:r>
            </w:hyperlink>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333-256470</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5/25/2021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60" w:type="dxa"/>
            <w:vAlign w:val="bottom"/>
            <w:tcBorders>
              <w:top w:val="single" w:sz="8" w:color="0000FF"/>
              <w:bottom w:val="single" w:sz="8" w:color="0000FF"/>
            </w:tcBorders>
            <w:gridSpan w:val="9"/>
          </w:tcPr>
          <w:p>
            <w:pPr>
              <w:spacing w:after="0" w:line="192" w:lineRule="exact"/>
              <w:rPr>
                <w:rFonts w:ascii="Times New Roman" w:cs="Times New Roman" w:eastAsia="Times New Roman" w:hAnsi="Times New Roman"/>
                <w:sz w:val="18"/>
                <w:szCs w:val="18"/>
                <w:color w:val="0000FF"/>
                <w:w w:val="97"/>
              </w:rPr>
            </w:pPr>
            <w:hyperlink r:id="rId173">
              <w:r>
                <w:rPr>
                  <w:rFonts w:ascii="Times New Roman" w:cs="Times New Roman" w:eastAsia="Times New Roman" w:hAnsi="Times New Roman"/>
                  <w:sz w:val="18"/>
                  <w:szCs w:val="18"/>
                  <w:color w:val="0000FF"/>
                  <w:w w:val="97"/>
                </w:rPr>
                <w:t>by and among the Registrant and certain of its</w:t>
              </w:r>
            </w:hyperlink>
          </w:p>
        </w:tc>
        <w:tc>
          <w:tcPr>
            <w:tcW w:w="500" w:type="dxa"/>
            <w:vAlign w:val="bottom"/>
            <w:tcBorders>
              <w:top w:val="single" w:sz="8" w:color="0000FF"/>
            </w:tcBorders>
            <w:gridSpan w:val="8"/>
          </w:tcPr>
          <w:p>
            <w:pPr>
              <w:spacing w:after="0"/>
              <w:rPr>
                <w:sz w:val="16"/>
                <w:szCs w:val="16"/>
                <w:color w:val="auto"/>
              </w:rPr>
            </w:pPr>
          </w:p>
        </w:tc>
        <w:tc>
          <w:tcPr>
            <w:tcW w:w="300" w:type="dxa"/>
            <w:vAlign w:val="bottom"/>
            <w:gridSpan w:val="5"/>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60" w:type="dxa"/>
            <w:vAlign w:val="bottom"/>
            <w:gridSpan w:val="22"/>
          </w:tcPr>
          <w:p>
            <w:pPr>
              <w:spacing w:after="0" w:line="192"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stockholders, dated March 5, 2020.</w:t>
              </w:r>
            </w:hyperlink>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45"/>
        </w:trPr>
        <w:tc>
          <w:tcPr>
            <w:tcW w:w="13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auto"/>
                <w:w w:val="97"/>
              </w:rPr>
              <w:t>4.3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Description of Securities</w:t>
            </w:r>
          </w:p>
        </w:tc>
        <w:tc>
          <w:tcPr>
            <w:tcW w:w="720" w:type="dxa"/>
            <w:vAlign w:val="bottom"/>
            <w:tcBorders>
              <w:top w:val="single" w:sz="8" w:color="0000FF"/>
            </w:tcBorders>
            <w:gridSpan w:val="4"/>
          </w:tcPr>
          <w:p>
            <w:pPr>
              <w:spacing w:after="0"/>
              <w:rPr>
                <w:sz w:val="21"/>
                <w:szCs w:val="21"/>
                <w:color w:val="auto"/>
              </w:rPr>
            </w:pPr>
          </w:p>
        </w:tc>
        <w:tc>
          <w:tcPr>
            <w:tcW w:w="1580" w:type="dxa"/>
            <w:vAlign w:val="bottom"/>
            <w:gridSpan w:val="15"/>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1"/>
              </w:rPr>
              <w:t>X</w:t>
            </w:r>
          </w:p>
        </w:tc>
      </w:tr>
      <w:tr>
        <w:trPr>
          <w:trHeight w:val="245"/>
        </w:trPr>
        <w:tc>
          <w:tcPr>
            <w:tcW w:w="13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7"/>
              </w:rPr>
            </w:pPr>
            <w:hyperlink r:id="rId174">
              <w:r>
                <w:rPr>
                  <w:rFonts w:ascii="Times New Roman" w:cs="Times New Roman" w:eastAsia="Times New Roman" w:hAnsi="Times New Roman"/>
                  <w:sz w:val="18"/>
                  <w:szCs w:val="18"/>
                  <w:color w:val="0000FF"/>
                  <w:w w:val="97"/>
                </w:rPr>
                <w:t>Lyell Immunopharma, Inc. 2018 Equity Incentive Plan,</w:t>
              </w:r>
            </w:hyperlink>
          </w:p>
        </w:tc>
        <w:tc>
          <w:tcPr>
            <w:tcW w:w="140" w:type="dxa"/>
            <w:vAlign w:val="bottom"/>
            <w:gridSpan w:val="4"/>
          </w:tcPr>
          <w:p>
            <w:pPr>
              <w:spacing w:after="0"/>
              <w:rPr>
                <w:sz w:val="21"/>
                <w:szCs w:val="21"/>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333-256470</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5/25/2021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Borders>
              <w:bottom w:val="single" w:sz="8" w:color="0000FF"/>
            </w:tcBorders>
          </w:tcPr>
          <w:p>
            <w:pPr>
              <w:spacing w:after="0" w:line="192" w:lineRule="exact"/>
              <w:rPr>
                <w:rFonts w:ascii="Times New Roman" w:cs="Times New Roman" w:eastAsia="Times New Roman" w:hAnsi="Times New Roman"/>
                <w:sz w:val="18"/>
                <w:szCs w:val="18"/>
                <w:color w:val="0000FF"/>
                <w:w w:val="96"/>
              </w:rPr>
            </w:pPr>
            <w:hyperlink r:id="rId174">
              <w:r>
                <w:rPr>
                  <w:rFonts w:ascii="Times New Roman" w:cs="Times New Roman" w:eastAsia="Times New Roman" w:hAnsi="Times New Roman"/>
                  <w:sz w:val="18"/>
                  <w:szCs w:val="18"/>
                  <w:color w:val="0000FF"/>
                  <w:w w:val="96"/>
                </w:rPr>
                <w:t>as amended.</w:t>
              </w:r>
            </w:hyperlink>
          </w:p>
        </w:tc>
        <w:tc>
          <w:tcPr>
            <w:tcW w:w="3180" w:type="dxa"/>
            <w:vAlign w:val="bottom"/>
            <w:gridSpan w:val="21"/>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45"/>
        </w:trPr>
        <w:tc>
          <w:tcPr>
            <w:tcW w:w="13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auto"/>
                <w:w w:val="95"/>
              </w:rPr>
              <w:t>10.2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8"/>
              </w:rPr>
            </w:pPr>
            <w:hyperlink r:id="rId175">
              <w:r>
                <w:rPr>
                  <w:rFonts w:ascii="Times New Roman" w:cs="Times New Roman" w:eastAsia="Times New Roman" w:hAnsi="Times New Roman"/>
                  <w:sz w:val="18"/>
                  <w:szCs w:val="18"/>
                  <w:color w:val="0000FF"/>
                  <w:w w:val="98"/>
                </w:rPr>
                <w:t>Forms of Stock Option Grant Notice, Stock Option</w:t>
              </w:r>
            </w:hyperlink>
          </w:p>
        </w:tc>
        <w:tc>
          <w:tcPr>
            <w:tcW w:w="420" w:type="dxa"/>
            <w:vAlign w:val="bottom"/>
            <w:gridSpan w:val="7"/>
          </w:tcPr>
          <w:p>
            <w:pPr>
              <w:spacing w:after="0"/>
              <w:rPr>
                <w:sz w:val="21"/>
                <w:szCs w:val="21"/>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333-256470</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5/25/2021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60" w:type="dxa"/>
            <w:vAlign w:val="bottom"/>
            <w:tcBorders>
              <w:bottom w:val="single" w:sz="8" w:color="0000FF"/>
            </w:tcBorders>
            <w:gridSpan w:val="20"/>
          </w:tcPr>
          <w:p>
            <w:pPr>
              <w:spacing w:after="0" w:line="192" w:lineRule="exact"/>
              <w:rPr>
                <w:rFonts w:ascii="Times New Roman" w:cs="Times New Roman" w:eastAsia="Times New Roman" w:hAnsi="Times New Roman"/>
                <w:sz w:val="18"/>
                <w:szCs w:val="18"/>
                <w:color w:val="0000FF"/>
                <w:w w:val="97"/>
              </w:rPr>
            </w:pPr>
            <w:hyperlink r:id="rId175">
              <w:r>
                <w:rPr>
                  <w:rFonts w:ascii="Times New Roman" w:cs="Times New Roman" w:eastAsia="Times New Roman" w:hAnsi="Times New Roman"/>
                  <w:sz w:val="18"/>
                  <w:szCs w:val="18"/>
                  <w:color w:val="0000FF"/>
                  <w:w w:val="97"/>
                </w:rPr>
                <w:t>Agreement and Notice of Exercise and Restricted Stock</w:t>
              </w:r>
            </w:hyperlink>
          </w:p>
        </w:tc>
        <w:tc>
          <w:tcPr>
            <w:tcW w:w="100" w:type="dxa"/>
            <w:vAlign w:val="bottom"/>
            <w:gridSpan w:val="2"/>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40" w:type="dxa"/>
            <w:vAlign w:val="bottom"/>
            <w:tcBorders>
              <w:bottom w:val="single" w:sz="8" w:color="0000FF"/>
            </w:tcBorders>
            <w:gridSpan w:val="19"/>
          </w:tcPr>
          <w:p>
            <w:pPr>
              <w:spacing w:after="0" w:line="192" w:lineRule="exact"/>
              <w:rPr>
                <w:rFonts w:ascii="Times New Roman" w:cs="Times New Roman" w:eastAsia="Times New Roman" w:hAnsi="Times New Roman"/>
                <w:sz w:val="18"/>
                <w:szCs w:val="18"/>
                <w:color w:val="0000FF"/>
                <w:w w:val="97"/>
              </w:rPr>
            </w:pPr>
            <w:hyperlink r:id="rId175">
              <w:r>
                <w:rPr>
                  <w:rFonts w:ascii="Times New Roman" w:cs="Times New Roman" w:eastAsia="Times New Roman" w:hAnsi="Times New Roman"/>
                  <w:sz w:val="18"/>
                  <w:szCs w:val="18"/>
                  <w:color w:val="0000FF"/>
                  <w:w w:val="97"/>
                </w:rPr>
                <w:t>Award Agreement under the Lyell Immunopharma, Inc.</w:t>
              </w:r>
            </w:hyperlink>
          </w:p>
        </w:tc>
        <w:tc>
          <w:tcPr>
            <w:tcW w:w="120" w:type="dxa"/>
            <w:vAlign w:val="bottom"/>
            <w:gridSpan w:val="3"/>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tcBorders>
              <w:bottom w:val="single" w:sz="8" w:color="0000FF"/>
            </w:tcBorders>
            <w:gridSpan w:val="4"/>
          </w:tcPr>
          <w:p>
            <w:pPr>
              <w:spacing w:after="0" w:line="192" w:lineRule="exact"/>
              <w:rPr>
                <w:rFonts w:ascii="Times New Roman" w:cs="Times New Roman" w:eastAsia="Times New Roman" w:hAnsi="Times New Roman"/>
                <w:sz w:val="18"/>
                <w:szCs w:val="18"/>
                <w:color w:val="0000FF"/>
                <w:w w:val="97"/>
              </w:rPr>
            </w:pPr>
            <w:hyperlink r:id="rId175">
              <w:r>
                <w:rPr>
                  <w:rFonts w:ascii="Times New Roman" w:cs="Times New Roman" w:eastAsia="Times New Roman" w:hAnsi="Times New Roman"/>
                  <w:sz w:val="18"/>
                  <w:szCs w:val="18"/>
                  <w:color w:val="0000FF"/>
                  <w:w w:val="97"/>
                </w:rPr>
                <w:t>2018 Equity Incentive Plan.</w:t>
              </w:r>
            </w:hyperlink>
          </w:p>
        </w:tc>
        <w:tc>
          <w:tcPr>
            <w:tcW w:w="2080" w:type="dxa"/>
            <w:vAlign w:val="bottom"/>
            <w:gridSpan w:val="18"/>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45"/>
        </w:trPr>
        <w:tc>
          <w:tcPr>
            <w:tcW w:w="13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auto"/>
                <w:w w:val="95"/>
              </w:rPr>
              <w:t>10.3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7"/>
              </w:rPr>
            </w:pPr>
            <w:hyperlink r:id="rId176">
              <w:r>
                <w:rPr>
                  <w:rFonts w:ascii="Times New Roman" w:cs="Times New Roman" w:eastAsia="Times New Roman" w:hAnsi="Times New Roman"/>
                  <w:sz w:val="18"/>
                  <w:szCs w:val="18"/>
                  <w:color w:val="0000FF"/>
                  <w:w w:val="97"/>
                </w:rPr>
                <w:t>Lyell Immunopharma, Inc. 2021 Equity Incentive Plan.</w:t>
              </w:r>
            </w:hyperlink>
          </w:p>
        </w:tc>
        <w:tc>
          <w:tcPr>
            <w:tcW w:w="140" w:type="dxa"/>
            <w:vAlign w:val="bottom"/>
            <w:gridSpan w:val="4"/>
          </w:tcPr>
          <w:p>
            <w:pPr>
              <w:spacing w:after="0"/>
              <w:rPr>
                <w:sz w:val="21"/>
                <w:szCs w:val="21"/>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333-256470</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6/9/2021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45"/>
        </w:trPr>
        <w:tc>
          <w:tcPr>
            <w:tcW w:w="13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auto"/>
                <w:w w:val="95"/>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7"/>
              </w:rPr>
            </w:pPr>
            <w:hyperlink r:id="rId177">
              <w:r>
                <w:rPr>
                  <w:rFonts w:ascii="Times New Roman" w:cs="Times New Roman" w:eastAsia="Times New Roman" w:hAnsi="Times New Roman"/>
                  <w:sz w:val="18"/>
                  <w:szCs w:val="18"/>
                  <w:color w:val="0000FF"/>
                  <w:w w:val="97"/>
                </w:rPr>
                <w:t>Forms of Stock Option Grant Notice, Stock Option</w:t>
              </w:r>
            </w:hyperlink>
          </w:p>
        </w:tc>
        <w:tc>
          <w:tcPr>
            <w:tcW w:w="440" w:type="dxa"/>
            <w:vAlign w:val="bottom"/>
            <w:gridSpan w:val="8"/>
          </w:tcPr>
          <w:p>
            <w:pPr>
              <w:spacing w:after="0"/>
              <w:rPr>
                <w:sz w:val="21"/>
                <w:szCs w:val="21"/>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333-256470</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6/9/2021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60" w:type="dxa"/>
            <w:vAlign w:val="bottom"/>
            <w:tcBorders>
              <w:bottom w:val="single" w:sz="8" w:color="0000FF"/>
            </w:tcBorders>
            <w:gridSpan w:val="13"/>
          </w:tcPr>
          <w:p>
            <w:pPr>
              <w:spacing w:after="0" w:line="192" w:lineRule="exact"/>
              <w:rPr>
                <w:rFonts w:ascii="Times New Roman" w:cs="Times New Roman" w:eastAsia="Times New Roman" w:hAnsi="Times New Roman"/>
                <w:sz w:val="18"/>
                <w:szCs w:val="18"/>
                <w:color w:val="0000FF"/>
                <w:w w:val="97"/>
              </w:rPr>
            </w:pPr>
            <w:hyperlink r:id="rId177">
              <w:r>
                <w:rPr>
                  <w:rFonts w:ascii="Times New Roman" w:cs="Times New Roman" w:eastAsia="Times New Roman" w:hAnsi="Times New Roman"/>
                  <w:sz w:val="18"/>
                  <w:szCs w:val="18"/>
                  <w:color w:val="0000FF"/>
                  <w:w w:val="97"/>
                </w:rPr>
                <w:t>Agreement and Notice of Exercise under the Lyell</w:t>
              </w:r>
            </w:hyperlink>
          </w:p>
        </w:tc>
        <w:tc>
          <w:tcPr>
            <w:tcW w:w="500" w:type="dxa"/>
            <w:vAlign w:val="bottom"/>
            <w:gridSpan w:val="9"/>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20" w:type="dxa"/>
            <w:vAlign w:val="bottom"/>
            <w:tcBorders>
              <w:bottom w:val="single" w:sz="8" w:color="0000FF"/>
            </w:tcBorders>
            <w:gridSpan w:val="12"/>
          </w:tcPr>
          <w:p>
            <w:pPr>
              <w:spacing w:after="0" w:line="192" w:lineRule="exact"/>
              <w:rPr>
                <w:rFonts w:ascii="Times New Roman" w:cs="Times New Roman" w:eastAsia="Times New Roman" w:hAnsi="Times New Roman"/>
                <w:sz w:val="18"/>
                <w:szCs w:val="18"/>
                <w:color w:val="0000FF"/>
                <w:w w:val="98"/>
              </w:rPr>
            </w:pPr>
            <w:hyperlink r:id="rId177">
              <w:r>
                <w:rPr>
                  <w:rFonts w:ascii="Times New Roman" w:cs="Times New Roman" w:eastAsia="Times New Roman" w:hAnsi="Times New Roman"/>
                  <w:sz w:val="18"/>
                  <w:szCs w:val="18"/>
                  <w:color w:val="0000FF"/>
                  <w:w w:val="98"/>
                </w:rPr>
                <w:t>Immunopharma, Inc. 2021 Equity Incentive Plan.</w:t>
              </w:r>
            </w:hyperlink>
          </w:p>
        </w:tc>
        <w:tc>
          <w:tcPr>
            <w:tcW w:w="540" w:type="dxa"/>
            <w:vAlign w:val="bottom"/>
            <w:gridSpan w:val="10"/>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45"/>
        </w:trPr>
        <w:tc>
          <w:tcPr>
            <w:tcW w:w="13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auto"/>
                <w:w w:val="95"/>
              </w:rPr>
              <w:t>10.5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60" w:type="dxa"/>
            <w:vAlign w:val="bottom"/>
            <w:gridSpan w:val="22"/>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Forms of Restricted Stock Unit Grant Notice and</w:t>
              </w:r>
            </w:hyperlink>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333-256470</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6/9/2021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0"/>
        </w:trPr>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2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40" w:type="dxa"/>
            <w:vAlign w:val="bottom"/>
            <w:tcBorders>
              <w:bottom w:val="single" w:sz="8" w:color="0000FF"/>
            </w:tcBorders>
            <w:gridSpan w:val="19"/>
          </w:tcPr>
          <w:p>
            <w:pPr>
              <w:spacing w:after="0" w:line="192" w:lineRule="exact"/>
              <w:rPr>
                <w:rFonts w:ascii="Times New Roman" w:cs="Times New Roman" w:eastAsia="Times New Roman" w:hAnsi="Times New Roman"/>
                <w:sz w:val="18"/>
                <w:szCs w:val="18"/>
                <w:color w:val="0000FF"/>
                <w:w w:val="97"/>
              </w:rPr>
            </w:pPr>
            <w:hyperlink r:id="rId178">
              <w:r>
                <w:rPr>
                  <w:rFonts w:ascii="Times New Roman" w:cs="Times New Roman" w:eastAsia="Times New Roman" w:hAnsi="Times New Roman"/>
                  <w:sz w:val="18"/>
                  <w:szCs w:val="18"/>
                  <w:color w:val="0000FF"/>
                  <w:w w:val="97"/>
                </w:rPr>
                <w:t>Award Agreement under the Lyell Immunopharma, Inc.</w:t>
              </w:r>
            </w:hyperlink>
          </w:p>
        </w:tc>
        <w:tc>
          <w:tcPr>
            <w:tcW w:w="120" w:type="dxa"/>
            <w:vAlign w:val="bottom"/>
            <w:gridSpan w:val="3"/>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tcBorders>
              <w:bottom w:val="single" w:sz="8" w:color="0000FF"/>
            </w:tcBorders>
            <w:gridSpan w:val="4"/>
          </w:tcPr>
          <w:p>
            <w:pPr>
              <w:spacing w:after="0" w:line="192" w:lineRule="exact"/>
              <w:rPr>
                <w:rFonts w:ascii="Times New Roman" w:cs="Times New Roman" w:eastAsia="Times New Roman" w:hAnsi="Times New Roman"/>
                <w:sz w:val="18"/>
                <w:szCs w:val="18"/>
                <w:color w:val="0000FF"/>
                <w:w w:val="97"/>
              </w:rPr>
            </w:pPr>
            <w:hyperlink r:id="rId178">
              <w:r>
                <w:rPr>
                  <w:rFonts w:ascii="Times New Roman" w:cs="Times New Roman" w:eastAsia="Times New Roman" w:hAnsi="Times New Roman"/>
                  <w:sz w:val="18"/>
                  <w:szCs w:val="18"/>
                  <w:color w:val="0000FF"/>
                  <w:w w:val="97"/>
                </w:rPr>
                <w:t>2021 Equity Incentive Plan.</w:t>
              </w:r>
            </w:hyperlink>
          </w:p>
        </w:tc>
        <w:tc>
          <w:tcPr>
            <w:tcW w:w="2080" w:type="dxa"/>
            <w:vAlign w:val="bottom"/>
            <w:gridSpan w:val="18"/>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45"/>
        </w:trPr>
        <w:tc>
          <w:tcPr>
            <w:tcW w:w="13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auto"/>
                <w:w w:val="95"/>
              </w:rPr>
              <w:t>10.6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7"/>
              </w:rPr>
            </w:pPr>
            <w:hyperlink r:id="rId179">
              <w:r>
                <w:rPr>
                  <w:rFonts w:ascii="Times New Roman" w:cs="Times New Roman" w:eastAsia="Times New Roman" w:hAnsi="Times New Roman"/>
                  <w:sz w:val="18"/>
                  <w:szCs w:val="18"/>
                  <w:color w:val="0000FF"/>
                  <w:w w:val="97"/>
                </w:rPr>
                <w:t>Lyell Immunopharma, Inc. 2021 Employee Stock</w:t>
              </w:r>
            </w:hyperlink>
          </w:p>
        </w:tc>
        <w:tc>
          <w:tcPr>
            <w:tcW w:w="560" w:type="dxa"/>
            <w:vAlign w:val="bottom"/>
            <w:gridSpan w:val="11"/>
          </w:tcPr>
          <w:p>
            <w:pPr>
              <w:spacing w:after="0"/>
              <w:rPr>
                <w:sz w:val="21"/>
                <w:szCs w:val="21"/>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333-256470</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1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6/9/2021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60" w:type="dxa"/>
            <w:vAlign w:val="bottom"/>
            <w:gridSpan w:val="22"/>
          </w:tcPr>
          <w:p>
            <w:pPr>
              <w:spacing w:after="0" w:line="192"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Purchase Plan.</w:t>
              </w:r>
            </w:hyperlink>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0"/>
        </w:trPr>
        <w:tc>
          <w:tcPr>
            <w:tcW w:w="1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600" w:type="dxa"/>
            <w:vAlign w:val="bottom"/>
            <w:gridSpan w:val="1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45"/>
        </w:trPr>
        <w:tc>
          <w:tcPr>
            <w:tcW w:w="13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auto"/>
                <w:w w:val="95"/>
              </w:rPr>
              <w:t>10.7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6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7"/>
              </w:rPr>
            </w:pPr>
            <w:hyperlink r:id="rId180">
              <w:r>
                <w:rPr>
                  <w:rFonts w:ascii="Times New Roman" w:cs="Times New Roman" w:eastAsia="Times New Roman" w:hAnsi="Times New Roman"/>
                  <w:sz w:val="18"/>
                  <w:szCs w:val="18"/>
                  <w:color w:val="0000FF"/>
                  <w:w w:val="97"/>
                </w:rPr>
                <w:t>Lyell Immunopharma, Inc. 2021 Non-Employee</w:t>
              </w:r>
            </w:hyperlink>
          </w:p>
        </w:tc>
        <w:tc>
          <w:tcPr>
            <w:tcW w:w="600" w:type="dxa"/>
            <w:vAlign w:val="bottom"/>
            <w:gridSpan w:val="12"/>
          </w:tcPr>
          <w:p>
            <w:pPr>
              <w:spacing w:after="0"/>
              <w:rPr>
                <w:sz w:val="21"/>
                <w:szCs w:val="21"/>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333-256470</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1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6/9/2021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60" w:type="dxa"/>
            <w:vAlign w:val="bottom"/>
            <w:gridSpan w:val="22"/>
          </w:tcPr>
          <w:p>
            <w:pPr>
              <w:spacing w:after="0" w:line="192"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Director Compensation Policy.</w:t>
              </w:r>
            </w:hyperlink>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922"/>
        </w:trPr>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1"/>
        </w:trPr>
        <w:tc>
          <w:tcPr>
            <w:tcW w:w="3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2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80"/>
              <w:spacing w:after="0" w:line="159" w:lineRule="exact"/>
              <w:rPr>
                <w:sz w:val="20"/>
                <w:szCs w:val="20"/>
                <w:color w:val="auto"/>
              </w:rPr>
            </w:pPr>
            <w:r>
              <w:rPr>
                <w:rFonts w:ascii="Times New Roman" w:cs="Times New Roman" w:eastAsia="Times New Roman" w:hAnsi="Times New Roman"/>
                <w:sz w:val="14"/>
                <w:szCs w:val="14"/>
                <w:b w:val="1"/>
                <w:bCs w:val="1"/>
                <w:color w:val="auto"/>
                <w:w w:val="99"/>
              </w:rPr>
              <w:t>Appendix</w:t>
            </w:r>
          </w:p>
        </w:tc>
        <w:tc>
          <w:tcPr>
            <w:tcW w:w="1140" w:type="dxa"/>
            <w:vAlign w:val="bottom"/>
            <w:gridSpan w:val="2"/>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20" w:type="dxa"/>
            <w:vAlign w:val="bottom"/>
          </w:tcPr>
          <w:p>
            <w:pPr>
              <w:spacing w:after="0"/>
              <w:rPr>
                <w:sz w:val="17"/>
                <w:szCs w:val="17"/>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gridSpan w:val="28"/>
          </w:tcPr>
          <w:p>
            <w:pPr>
              <w:ind w:left="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1300" w:type="dxa"/>
            <w:vAlign w:val="bottom"/>
            <w:gridSpan w:val="2"/>
          </w:tcPr>
          <w:p>
            <w:pPr>
              <w:jc w:val="center"/>
              <w:ind w:left="232"/>
              <w:spacing w:after="0" w:line="192" w:lineRule="exact"/>
              <w:rPr>
                <w:sz w:val="20"/>
                <w:szCs w:val="20"/>
                <w:color w:val="auto"/>
              </w:rPr>
            </w:pPr>
            <w:r>
              <w:rPr>
                <w:rFonts w:ascii="Times New Roman" w:cs="Times New Roman" w:eastAsia="Times New Roman" w:hAnsi="Times New Roman"/>
                <w:sz w:val="18"/>
                <w:szCs w:val="18"/>
                <w:color w:val="auto"/>
                <w:w w:val="95"/>
              </w:rPr>
              <w:t>10.8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40" w:type="dxa"/>
            <w:vAlign w:val="bottom"/>
            <w:tcBorders>
              <w:bottom w:val="single" w:sz="8" w:color="0000FF"/>
            </w:tcBorders>
            <w:gridSpan w:val="18"/>
          </w:tcPr>
          <w:p>
            <w:pPr>
              <w:spacing w:after="0" w:line="192" w:lineRule="exact"/>
              <w:rPr>
                <w:rFonts w:ascii="Times New Roman" w:cs="Times New Roman" w:eastAsia="Times New Roman" w:hAnsi="Times New Roman"/>
                <w:sz w:val="18"/>
                <w:szCs w:val="18"/>
                <w:color w:val="0000FF"/>
                <w:w w:val="97"/>
              </w:rPr>
            </w:pPr>
            <w:hyperlink r:id="rId183">
              <w:r>
                <w:rPr>
                  <w:rFonts w:ascii="Times New Roman" w:cs="Times New Roman" w:eastAsia="Times New Roman" w:hAnsi="Times New Roman"/>
                  <w:sz w:val="18"/>
                  <w:szCs w:val="18"/>
                  <w:color w:val="0000FF"/>
                  <w:w w:val="97"/>
                </w:rPr>
                <w:t>Lyell Immunopharma, Inc. Officer Severance Plan.</w:t>
              </w:r>
            </w:hyperlink>
          </w:p>
        </w:tc>
        <w:tc>
          <w:tcPr>
            <w:tcW w:w="420" w:type="dxa"/>
            <w:vAlign w:val="bottom"/>
            <w:gridSpan w:val="14"/>
          </w:tcPr>
          <w:p>
            <w:pPr>
              <w:spacing w:after="0"/>
              <w:rPr>
                <w:sz w:val="16"/>
                <w:szCs w:val="16"/>
                <w:color w:val="auto"/>
              </w:rPr>
            </w:pPr>
          </w:p>
        </w:tc>
        <w:tc>
          <w:tcPr>
            <w:tcW w:w="860" w:type="dxa"/>
            <w:vAlign w:val="bottom"/>
            <w:gridSpan w:val="2"/>
          </w:tcPr>
          <w:p>
            <w:pPr>
              <w:jc w:val="center"/>
              <w:ind w:right="140"/>
              <w:spacing w:after="0" w:line="192" w:lineRule="exact"/>
              <w:rPr>
                <w:sz w:val="20"/>
                <w:szCs w:val="20"/>
                <w:color w:val="auto"/>
              </w:rPr>
            </w:pPr>
            <w:r>
              <w:rPr>
                <w:rFonts w:ascii="Times New Roman" w:cs="Times New Roman" w:eastAsia="Times New Roman" w:hAnsi="Times New Roman"/>
                <w:sz w:val="18"/>
                <w:szCs w:val="18"/>
                <w:color w:val="auto"/>
                <w:w w:val="97"/>
              </w:rPr>
              <w:t>10-K</w:t>
            </w:r>
          </w:p>
        </w:tc>
        <w:tc>
          <w:tcPr>
            <w:tcW w:w="126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001-40502</w:t>
            </w:r>
          </w:p>
        </w:tc>
        <w:tc>
          <w:tcPr>
            <w:tcW w:w="100" w:type="dxa"/>
            <w:vAlign w:val="bottom"/>
          </w:tcPr>
          <w:p>
            <w:pPr>
              <w:spacing w:after="0"/>
              <w:rPr>
                <w:sz w:val="16"/>
                <w:szCs w:val="16"/>
                <w:color w:val="auto"/>
              </w:rPr>
            </w:pPr>
          </w:p>
        </w:tc>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5"/>
              </w:rPr>
              <w:t>10.8</w:t>
            </w:r>
          </w:p>
        </w:tc>
        <w:tc>
          <w:tcPr>
            <w:tcW w:w="160" w:type="dxa"/>
            <w:vAlign w:val="bottom"/>
          </w:tcPr>
          <w:p>
            <w:pPr>
              <w:spacing w:after="0"/>
              <w:rPr>
                <w:sz w:val="16"/>
                <w:szCs w:val="16"/>
                <w:color w:val="auto"/>
              </w:rPr>
            </w:pPr>
          </w:p>
        </w:tc>
        <w:tc>
          <w:tcPr>
            <w:tcW w:w="104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3/29/2022</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3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auto"/>
                <w:w w:val="95"/>
              </w:rPr>
              <w:t>10.9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7"/>
              </w:rPr>
            </w:pPr>
            <w:hyperlink r:id="rId184">
              <w:r>
                <w:rPr>
                  <w:rFonts w:ascii="Times New Roman" w:cs="Times New Roman" w:eastAsia="Times New Roman" w:hAnsi="Times New Roman"/>
                  <w:sz w:val="18"/>
                  <w:szCs w:val="18"/>
                  <w:color w:val="0000FF"/>
                  <w:w w:val="97"/>
                </w:rPr>
                <w:t>Form of Indemnification Agreement by and between</w:t>
              </w:r>
            </w:hyperlink>
          </w:p>
        </w:tc>
        <w:tc>
          <w:tcPr>
            <w:tcW w:w="320" w:type="dxa"/>
            <w:vAlign w:val="bottom"/>
            <w:gridSpan w:val="10"/>
          </w:tcPr>
          <w:p>
            <w:pPr>
              <w:spacing w:after="0"/>
              <w:rPr>
                <w:sz w:val="21"/>
                <w:szCs w:val="21"/>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333-256470</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5/25/2021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20" w:type="dxa"/>
            <w:vAlign w:val="bottom"/>
            <w:tcBorders>
              <w:bottom w:val="single" w:sz="8" w:color="0000FF"/>
            </w:tcBorders>
            <w:gridSpan w:val="26"/>
          </w:tcPr>
          <w:p>
            <w:pPr>
              <w:spacing w:after="0" w:line="192" w:lineRule="exact"/>
              <w:rPr>
                <w:rFonts w:ascii="Times New Roman" w:cs="Times New Roman" w:eastAsia="Times New Roman" w:hAnsi="Times New Roman"/>
                <w:sz w:val="18"/>
                <w:szCs w:val="18"/>
                <w:color w:val="0000FF"/>
                <w:w w:val="97"/>
              </w:rPr>
            </w:pPr>
            <w:hyperlink r:id="rId184">
              <w:r>
                <w:rPr>
                  <w:rFonts w:ascii="Times New Roman" w:cs="Times New Roman" w:eastAsia="Times New Roman" w:hAnsi="Times New Roman"/>
                  <w:sz w:val="18"/>
                  <w:szCs w:val="18"/>
                  <w:color w:val="0000FF"/>
                  <w:w w:val="97"/>
                </w:rPr>
                <w:t>the Registrant and its directors and executive officers.</w:t>
              </w:r>
            </w:hyperlink>
          </w:p>
        </w:tc>
        <w:tc>
          <w:tcPr>
            <w:tcW w:w="240" w:type="dxa"/>
            <w:vAlign w:val="bottom"/>
            <w:gridSpan w:val="6"/>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30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w w:val="98"/>
              </w:rPr>
              <w:t>10.10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8"/>
              </w:rPr>
            </w:pPr>
            <w:hyperlink r:id="rId185">
              <w:r>
                <w:rPr>
                  <w:rFonts w:ascii="Times New Roman" w:cs="Times New Roman" w:eastAsia="Times New Roman" w:hAnsi="Times New Roman"/>
                  <w:sz w:val="18"/>
                  <w:szCs w:val="18"/>
                  <w:color w:val="0000FF"/>
                  <w:w w:val="98"/>
                </w:rPr>
                <w:t>Amended Offer Letter by and between the Registrant</w:t>
              </w:r>
            </w:hyperlink>
          </w:p>
        </w:tc>
        <w:tc>
          <w:tcPr>
            <w:tcW w:w="280" w:type="dxa"/>
            <w:vAlign w:val="bottom"/>
            <w:gridSpan w:val="8"/>
          </w:tcPr>
          <w:p>
            <w:pPr>
              <w:spacing w:after="0"/>
              <w:rPr>
                <w:sz w:val="21"/>
                <w:szCs w:val="21"/>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333-256470</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5/25/2021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tcBorders>
              <w:bottom w:val="single" w:sz="8" w:color="0000FF"/>
            </w:tcBorders>
            <w:gridSpan w:val="9"/>
          </w:tcPr>
          <w:p>
            <w:pPr>
              <w:spacing w:after="0" w:line="192" w:lineRule="exact"/>
              <w:rPr>
                <w:rFonts w:ascii="Times New Roman" w:cs="Times New Roman" w:eastAsia="Times New Roman" w:hAnsi="Times New Roman"/>
                <w:sz w:val="18"/>
                <w:szCs w:val="18"/>
                <w:color w:val="0000FF"/>
                <w:w w:val="97"/>
              </w:rPr>
            </w:pPr>
            <w:hyperlink r:id="rId185">
              <w:r>
                <w:rPr>
                  <w:rFonts w:ascii="Times New Roman" w:cs="Times New Roman" w:eastAsia="Times New Roman" w:hAnsi="Times New Roman"/>
                  <w:sz w:val="18"/>
                  <w:szCs w:val="18"/>
                  <w:color w:val="0000FF"/>
                  <w:w w:val="97"/>
                </w:rPr>
                <w:t>and Richard Klausner, dated July 23, 2020.</w:t>
              </w:r>
            </w:hyperlink>
          </w:p>
        </w:tc>
        <w:tc>
          <w:tcPr>
            <w:tcW w:w="1000" w:type="dxa"/>
            <w:vAlign w:val="bottom"/>
            <w:gridSpan w:val="23"/>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3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auto"/>
                <w:w w:val="93"/>
              </w:rPr>
              <w:t>10.11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7"/>
              </w:rPr>
            </w:pPr>
            <w:hyperlink r:id="rId186">
              <w:r>
                <w:rPr>
                  <w:rFonts w:ascii="Times New Roman" w:cs="Times New Roman" w:eastAsia="Times New Roman" w:hAnsi="Times New Roman"/>
                  <w:sz w:val="18"/>
                  <w:szCs w:val="18"/>
                  <w:color w:val="0000FF"/>
                  <w:w w:val="97"/>
                </w:rPr>
                <w:t>Offer Letter, by and between the Registrant and Lynn</w:t>
              </w:r>
            </w:hyperlink>
          </w:p>
        </w:tc>
        <w:tc>
          <w:tcPr>
            <w:tcW w:w="280" w:type="dxa"/>
            <w:vAlign w:val="bottom"/>
            <w:gridSpan w:val="8"/>
          </w:tcPr>
          <w:p>
            <w:pPr>
              <w:spacing w:after="0"/>
              <w:rPr>
                <w:sz w:val="21"/>
                <w:szCs w:val="21"/>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001-40502</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12/16/2022</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00" w:type="dxa"/>
            <w:vAlign w:val="bottom"/>
            <w:tcBorders>
              <w:bottom w:val="single" w:sz="8" w:color="0000FF"/>
            </w:tcBorders>
            <w:gridSpan w:val="6"/>
          </w:tcPr>
          <w:p>
            <w:pPr>
              <w:spacing w:after="0" w:line="192" w:lineRule="exact"/>
              <w:rPr>
                <w:rFonts w:ascii="Times New Roman" w:cs="Times New Roman" w:eastAsia="Times New Roman" w:hAnsi="Times New Roman"/>
                <w:sz w:val="18"/>
                <w:szCs w:val="18"/>
                <w:color w:val="0000FF"/>
                <w:w w:val="97"/>
              </w:rPr>
            </w:pPr>
            <w:hyperlink r:id="rId186">
              <w:r>
                <w:rPr>
                  <w:rFonts w:ascii="Times New Roman" w:cs="Times New Roman" w:eastAsia="Times New Roman" w:hAnsi="Times New Roman"/>
                  <w:sz w:val="18"/>
                  <w:szCs w:val="18"/>
                  <w:color w:val="0000FF"/>
                  <w:w w:val="97"/>
                </w:rPr>
                <w:t>Seely, dated December 14, 2022</w:t>
              </w:r>
            </w:hyperlink>
          </w:p>
        </w:tc>
        <w:tc>
          <w:tcPr>
            <w:tcW w:w="1760" w:type="dxa"/>
            <w:vAlign w:val="bottom"/>
            <w:gridSpan w:val="26"/>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30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w w:val="98"/>
              </w:rPr>
              <w:t>10.12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7"/>
              </w:rPr>
            </w:pPr>
            <w:hyperlink r:id="rId187">
              <w:r>
                <w:rPr>
                  <w:rFonts w:ascii="Times New Roman" w:cs="Times New Roman" w:eastAsia="Times New Roman" w:hAnsi="Times New Roman"/>
                  <w:sz w:val="18"/>
                  <w:szCs w:val="18"/>
                  <w:color w:val="0000FF"/>
                  <w:w w:val="97"/>
                </w:rPr>
                <w:t>Offer Letter by and between the Registrant and Charles</w:t>
              </w:r>
            </w:hyperlink>
          </w:p>
        </w:tc>
        <w:tc>
          <w:tcPr>
            <w:tcW w:w="140" w:type="dxa"/>
            <w:vAlign w:val="bottom"/>
            <w:gridSpan w:val="4"/>
          </w:tcPr>
          <w:p>
            <w:pPr>
              <w:spacing w:after="0"/>
              <w:rPr>
                <w:sz w:val="21"/>
                <w:szCs w:val="21"/>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333-256470</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5/25/2021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tcBorders>
              <w:bottom w:val="single" w:sz="8" w:color="0000FF"/>
            </w:tcBorders>
            <w:gridSpan w:val="7"/>
          </w:tcPr>
          <w:p>
            <w:pPr>
              <w:spacing w:after="0" w:line="192" w:lineRule="exact"/>
              <w:rPr>
                <w:rFonts w:ascii="Times New Roman" w:cs="Times New Roman" w:eastAsia="Times New Roman" w:hAnsi="Times New Roman"/>
                <w:sz w:val="18"/>
                <w:szCs w:val="18"/>
                <w:color w:val="0000FF"/>
                <w:w w:val="97"/>
              </w:rPr>
            </w:pPr>
            <w:hyperlink r:id="rId187">
              <w:r>
                <w:rPr>
                  <w:rFonts w:ascii="Times New Roman" w:cs="Times New Roman" w:eastAsia="Times New Roman" w:hAnsi="Times New Roman"/>
                  <w:sz w:val="18"/>
                  <w:szCs w:val="18"/>
                  <w:color w:val="0000FF"/>
                  <w:w w:val="97"/>
                </w:rPr>
                <w:t>Newton, dated February 3, 2021.</w:t>
              </w:r>
            </w:hyperlink>
          </w:p>
        </w:tc>
        <w:tc>
          <w:tcPr>
            <w:tcW w:w="1720" w:type="dxa"/>
            <w:vAlign w:val="bottom"/>
            <w:gridSpan w:val="25"/>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30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w w:val="98"/>
              </w:rPr>
              <w:t>10.13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60" w:type="dxa"/>
            <w:vAlign w:val="bottom"/>
            <w:gridSpan w:val="32"/>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Offer Letter by and between the Registrant and</w:t>
              </w:r>
            </w:hyperlink>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001-40502</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11/8/2022</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20" w:type="dxa"/>
            <w:vAlign w:val="bottom"/>
            <w:tcBorders>
              <w:bottom w:val="single" w:sz="8" w:color="0000FF"/>
            </w:tcBorders>
            <w:gridSpan w:val="17"/>
          </w:tcPr>
          <w:p>
            <w:pPr>
              <w:spacing w:after="0" w:line="192" w:lineRule="exact"/>
              <w:rPr>
                <w:rFonts w:ascii="Times New Roman" w:cs="Times New Roman" w:eastAsia="Times New Roman" w:hAnsi="Times New Roman"/>
                <w:sz w:val="18"/>
                <w:szCs w:val="18"/>
                <w:color w:val="0000FF"/>
                <w:w w:val="97"/>
              </w:rPr>
            </w:pPr>
            <w:hyperlink r:id="rId188">
              <w:r>
                <w:rPr>
                  <w:rFonts w:ascii="Times New Roman" w:cs="Times New Roman" w:eastAsia="Times New Roman" w:hAnsi="Times New Roman"/>
                  <w:sz w:val="18"/>
                  <w:szCs w:val="18"/>
                  <w:color w:val="0000FF"/>
                  <w:w w:val="97"/>
                </w:rPr>
                <w:t>Rahsaan W. Thompson, dated September 12, 2022.</w:t>
              </w:r>
            </w:hyperlink>
          </w:p>
        </w:tc>
        <w:tc>
          <w:tcPr>
            <w:tcW w:w="440" w:type="dxa"/>
            <w:vAlign w:val="bottom"/>
            <w:gridSpan w:val="15"/>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30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w w:val="98"/>
              </w:rPr>
              <w:t>10.14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8"/>
              </w:rPr>
            </w:pPr>
            <w:hyperlink r:id="rId189">
              <w:r>
                <w:rPr>
                  <w:rFonts w:ascii="Times New Roman" w:cs="Times New Roman" w:eastAsia="Times New Roman" w:hAnsi="Times New Roman"/>
                  <w:sz w:val="18"/>
                  <w:szCs w:val="18"/>
                  <w:color w:val="0000FF"/>
                  <w:w w:val="98"/>
                </w:rPr>
                <w:t>Offer Letter by and between the Registrant and Stephen</w:t>
              </w:r>
            </w:hyperlink>
          </w:p>
        </w:tc>
        <w:tc>
          <w:tcPr>
            <w:tcW w:w="100" w:type="dxa"/>
            <w:vAlign w:val="bottom"/>
            <w:gridSpan w:val="2"/>
          </w:tcPr>
          <w:p>
            <w:pPr>
              <w:spacing w:after="0"/>
              <w:rPr>
                <w:sz w:val="21"/>
                <w:szCs w:val="21"/>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333-256470</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5/25/2021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40" w:type="dxa"/>
            <w:vAlign w:val="bottom"/>
            <w:tcBorders>
              <w:bottom w:val="single" w:sz="8" w:color="0000FF"/>
            </w:tcBorders>
            <w:gridSpan w:val="5"/>
          </w:tcPr>
          <w:p>
            <w:pPr>
              <w:spacing w:after="0" w:line="192" w:lineRule="exact"/>
              <w:rPr>
                <w:rFonts w:ascii="Times New Roman" w:cs="Times New Roman" w:eastAsia="Times New Roman" w:hAnsi="Times New Roman"/>
                <w:sz w:val="18"/>
                <w:szCs w:val="18"/>
                <w:color w:val="0000FF"/>
                <w:w w:val="97"/>
              </w:rPr>
            </w:pPr>
            <w:hyperlink r:id="rId189">
              <w:r>
                <w:rPr>
                  <w:rFonts w:ascii="Times New Roman" w:cs="Times New Roman" w:eastAsia="Times New Roman" w:hAnsi="Times New Roman"/>
                  <w:sz w:val="18"/>
                  <w:szCs w:val="18"/>
                  <w:color w:val="0000FF"/>
                  <w:w w:val="97"/>
                </w:rPr>
                <w:t>Hill, dated May 9, 2019.</w:t>
              </w:r>
            </w:hyperlink>
          </w:p>
        </w:tc>
        <w:tc>
          <w:tcPr>
            <w:tcW w:w="2320" w:type="dxa"/>
            <w:vAlign w:val="bottom"/>
            <w:gridSpan w:val="27"/>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30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w w:val="98"/>
              </w:rPr>
              <w:t>10.15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7"/>
              </w:rPr>
            </w:pPr>
            <w:hyperlink r:id="rId190">
              <w:r>
                <w:rPr>
                  <w:rFonts w:ascii="Times New Roman" w:cs="Times New Roman" w:eastAsia="Times New Roman" w:hAnsi="Times New Roman"/>
                  <w:sz w:val="18"/>
                  <w:szCs w:val="18"/>
                  <w:color w:val="0000FF"/>
                  <w:w w:val="97"/>
                </w:rPr>
                <w:t>Severance Waiver by and between the Registrant and</w:t>
              </w:r>
            </w:hyperlink>
          </w:p>
        </w:tc>
        <w:tc>
          <w:tcPr>
            <w:tcW w:w="300" w:type="dxa"/>
            <w:vAlign w:val="bottom"/>
            <w:gridSpan w:val="9"/>
          </w:tcPr>
          <w:p>
            <w:pPr>
              <w:spacing w:after="0"/>
              <w:rPr>
                <w:sz w:val="21"/>
                <w:szCs w:val="21"/>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001-40502</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5/10/2022</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60" w:type="dxa"/>
            <w:vAlign w:val="bottom"/>
            <w:gridSpan w:val="32"/>
          </w:tcPr>
          <w:p>
            <w:pPr>
              <w:spacing w:after="0" w:line="192"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Stephen Hill, dated April 19, 2022.</w:t>
              </w:r>
            </w:hyperlink>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gridSpan w:val="4"/>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30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w w:val="98"/>
              </w:rPr>
              <w:t>10.16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4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7"/>
              </w:rPr>
            </w:pPr>
            <w:hyperlink r:id="rId191">
              <w:r>
                <w:rPr>
                  <w:rFonts w:ascii="Times New Roman" w:cs="Times New Roman" w:eastAsia="Times New Roman" w:hAnsi="Times New Roman"/>
                  <w:sz w:val="18"/>
                  <w:szCs w:val="18"/>
                  <w:color w:val="0000FF"/>
                  <w:w w:val="97"/>
                </w:rPr>
                <w:t>Separation, Transition and General Release Agreement,</w:t>
              </w:r>
            </w:hyperlink>
          </w:p>
        </w:tc>
        <w:tc>
          <w:tcPr>
            <w:tcW w:w="120" w:type="dxa"/>
            <w:vAlign w:val="bottom"/>
            <w:gridSpan w:val="3"/>
          </w:tcPr>
          <w:p>
            <w:pPr>
              <w:spacing w:after="0"/>
              <w:rPr>
                <w:sz w:val="21"/>
                <w:szCs w:val="21"/>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001-40502</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12/16/2022</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60" w:type="dxa"/>
            <w:vAlign w:val="bottom"/>
            <w:tcBorders>
              <w:bottom w:val="single" w:sz="8" w:color="0000FF"/>
            </w:tcBorders>
            <w:gridSpan w:val="10"/>
          </w:tcPr>
          <w:p>
            <w:pPr>
              <w:spacing w:after="0" w:line="192" w:lineRule="exact"/>
              <w:rPr>
                <w:rFonts w:ascii="Times New Roman" w:cs="Times New Roman" w:eastAsia="Times New Roman" w:hAnsi="Times New Roman"/>
                <w:sz w:val="18"/>
                <w:szCs w:val="18"/>
                <w:color w:val="0000FF"/>
                <w:w w:val="97"/>
              </w:rPr>
            </w:pPr>
            <w:hyperlink r:id="rId191">
              <w:r>
                <w:rPr>
                  <w:rFonts w:ascii="Times New Roman" w:cs="Times New Roman" w:eastAsia="Times New Roman" w:hAnsi="Times New Roman"/>
                  <w:sz w:val="18"/>
                  <w:szCs w:val="18"/>
                  <w:color w:val="0000FF"/>
                  <w:w w:val="97"/>
                </w:rPr>
                <w:t>by and between Elizabeth Homans and Lyell</w:t>
              </w:r>
            </w:hyperlink>
          </w:p>
        </w:tc>
        <w:tc>
          <w:tcPr>
            <w:tcW w:w="900" w:type="dxa"/>
            <w:vAlign w:val="bottom"/>
            <w:gridSpan w:val="22"/>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0" w:type="dxa"/>
            <w:vAlign w:val="bottom"/>
            <w:tcBorders>
              <w:bottom w:val="single" w:sz="8" w:color="0000FF"/>
            </w:tcBorders>
            <w:gridSpan w:val="12"/>
          </w:tcPr>
          <w:p>
            <w:pPr>
              <w:spacing w:after="0" w:line="192" w:lineRule="exact"/>
              <w:rPr>
                <w:rFonts w:ascii="Times New Roman" w:cs="Times New Roman" w:eastAsia="Times New Roman" w:hAnsi="Times New Roman"/>
                <w:sz w:val="18"/>
                <w:szCs w:val="18"/>
                <w:color w:val="0000FF"/>
                <w:w w:val="97"/>
              </w:rPr>
            </w:pPr>
            <w:hyperlink r:id="rId191">
              <w:r>
                <w:rPr>
                  <w:rFonts w:ascii="Times New Roman" w:cs="Times New Roman" w:eastAsia="Times New Roman" w:hAnsi="Times New Roman"/>
                  <w:sz w:val="18"/>
                  <w:szCs w:val="18"/>
                  <w:color w:val="0000FF"/>
                  <w:w w:val="97"/>
                </w:rPr>
                <w:t>Immunopharma, Inc., dated December 15, 2022</w:t>
              </w:r>
            </w:hyperlink>
          </w:p>
        </w:tc>
        <w:tc>
          <w:tcPr>
            <w:tcW w:w="660" w:type="dxa"/>
            <w:vAlign w:val="bottom"/>
            <w:gridSpan w:val="20"/>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30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w w:val="98"/>
              </w:rPr>
              <w:t>10.17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60" w:type="dxa"/>
            <w:vAlign w:val="bottom"/>
            <w:gridSpan w:val="32"/>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License Agreement by and between the Registrant and</w:t>
              </w:r>
            </w:hyperlink>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333-256470</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5/25/2021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60" w:type="dxa"/>
            <w:vAlign w:val="bottom"/>
            <w:tcBorders>
              <w:top w:val="single" w:sz="8" w:color="0000FF"/>
            </w:tcBorders>
            <w:gridSpan w:val="27"/>
          </w:tcPr>
          <w:p>
            <w:pPr>
              <w:spacing w:after="0" w:line="192"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The Board of Trustees of the Leland Stanford Junior</w:t>
              </w:r>
            </w:hyperlink>
          </w:p>
        </w:tc>
        <w:tc>
          <w:tcPr>
            <w:tcW w:w="200" w:type="dxa"/>
            <w:vAlign w:val="bottom"/>
            <w:gridSpan w:val="5"/>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00" w:type="dxa"/>
            <w:vAlign w:val="bottom"/>
            <w:tcBorders>
              <w:top w:val="single" w:sz="8" w:color="0000FF"/>
            </w:tcBorders>
            <w:gridSpan w:val="20"/>
          </w:tcPr>
          <w:p>
            <w:pPr>
              <w:spacing w:after="0" w:line="192"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University, dated January 29, 2019.</w:t>
              </w:r>
            </w:hyperlink>
          </w:p>
        </w:tc>
        <w:tc>
          <w:tcPr>
            <w:tcW w:w="360" w:type="dxa"/>
            <w:vAlign w:val="bottom"/>
            <w:gridSpan w:val="12"/>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30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w w:val="98"/>
              </w:rPr>
              <w:t>10.18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7"/>
              </w:rPr>
            </w:pPr>
            <w:hyperlink r:id="rId193">
              <w:r>
                <w:rPr>
                  <w:rFonts w:ascii="Times New Roman" w:cs="Times New Roman" w:eastAsia="Times New Roman" w:hAnsi="Times New Roman"/>
                  <w:sz w:val="18"/>
                  <w:szCs w:val="18"/>
                  <w:color w:val="0000FF"/>
                  <w:w w:val="97"/>
                </w:rPr>
                <w:t>Success Payment Agreement, by and between the</w:t>
              </w:r>
            </w:hyperlink>
          </w:p>
        </w:tc>
        <w:tc>
          <w:tcPr>
            <w:tcW w:w="540" w:type="dxa"/>
            <w:vAlign w:val="bottom"/>
            <w:gridSpan w:val="17"/>
          </w:tcPr>
          <w:p>
            <w:pPr>
              <w:spacing w:after="0"/>
              <w:rPr>
                <w:sz w:val="21"/>
                <w:szCs w:val="21"/>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333-256470</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1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5/25/2021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40" w:type="dxa"/>
            <w:vAlign w:val="bottom"/>
            <w:tcBorders>
              <w:bottom w:val="single" w:sz="8" w:color="0000FF"/>
            </w:tcBorders>
            <w:gridSpan w:val="18"/>
          </w:tcPr>
          <w:p>
            <w:pPr>
              <w:spacing w:after="0" w:line="192" w:lineRule="exact"/>
              <w:rPr>
                <w:rFonts w:ascii="Times New Roman" w:cs="Times New Roman" w:eastAsia="Times New Roman" w:hAnsi="Times New Roman"/>
                <w:sz w:val="18"/>
                <w:szCs w:val="18"/>
                <w:color w:val="0000FF"/>
                <w:w w:val="97"/>
              </w:rPr>
            </w:pPr>
            <w:hyperlink r:id="rId193">
              <w:r>
                <w:rPr>
                  <w:rFonts w:ascii="Times New Roman" w:cs="Times New Roman" w:eastAsia="Times New Roman" w:hAnsi="Times New Roman"/>
                  <w:sz w:val="18"/>
                  <w:szCs w:val="18"/>
                  <w:color w:val="0000FF"/>
                  <w:w w:val="97"/>
                </w:rPr>
                <w:t>Registrant and The Board of Trustees of the Leland</w:t>
              </w:r>
            </w:hyperlink>
          </w:p>
        </w:tc>
        <w:tc>
          <w:tcPr>
            <w:tcW w:w="420" w:type="dxa"/>
            <w:vAlign w:val="bottom"/>
            <w:gridSpan w:val="14"/>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80" w:type="dxa"/>
            <w:vAlign w:val="bottom"/>
            <w:tcBorders>
              <w:bottom w:val="single" w:sz="8" w:color="0000FF"/>
            </w:tcBorders>
            <w:gridSpan w:val="16"/>
          </w:tcPr>
          <w:p>
            <w:pPr>
              <w:spacing w:after="0" w:line="192" w:lineRule="exact"/>
              <w:rPr>
                <w:rFonts w:ascii="Times New Roman" w:cs="Times New Roman" w:eastAsia="Times New Roman" w:hAnsi="Times New Roman"/>
                <w:sz w:val="18"/>
                <w:szCs w:val="18"/>
                <w:color w:val="0000FF"/>
                <w:w w:val="97"/>
              </w:rPr>
            </w:pPr>
            <w:hyperlink r:id="rId193">
              <w:r>
                <w:rPr>
                  <w:rFonts w:ascii="Times New Roman" w:cs="Times New Roman" w:eastAsia="Times New Roman" w:hAnsi="Times New Roman"/>
                  <w:sz w:val="18"/>
                  <w:szCs w:val="18"/>
                  <w:color w:val="0000FF"/>
                  <w:w w:val="97"/>
                </w:rPr>
                <w:t>Stanford Junior University, dated October 1, 2020.</w:t>
              </w:r>
            </w:hyperlink>
          </w:p>
        </w:tc>
        <w:tc>
          <w:tcPr>
            <w:tcW w:w="480" w:type="dxa"/>
            <w:vAlign w:val="bottom"/>
            <w:gridSpan w:val="16"/>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30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w w:val="98"/>
              </w:rPr>
              <w:t>10.19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60" w:type="dxa"/>
            <w:vAlign w:val="bottom"/>
            <w:gridSpan w:val="32"/>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Success Payment Agreement, by and between the</w:t>
              </w:r>
            </w:hyperlink>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333-256470</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1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5/25/2021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00" w:type="dxa"/>
            <w:vAlign w:val="bottom"/>
            <w:tcBorders>
              <w:top w:val="single" w:sz="8" w:color="0000FF"/>
            </w:tcBorders>
            <w:gridSpan w:val="14"/>
          </w:tcPr>
          <w:p>
            <w:pPr>
              <w:spacing w:after="0" w:line="192" w:lineRule="exact"/>
              <w:rPr>
                <w:rFonts w:ascii="Times New Roman" w:cs="Times New Roman" w:eastAsia="Times New Roman" w:hAnsi="Times New Roman"/>
                <w:sz w:val="18"/>
                <w:szCs w:val="18"/>
                <w:color w:val="0000FF"/>
                <w:w w:val="97"/>
              </w:rPr>
            </w:pPr>
            <w:hyperlink r:id="rId194">
              <w:r>
                <w:rPr>
                  <w:rFonts w:ascii="Times New Roman" w:cs="Times New Roman" w:eastAsia="Times New Roman" w:hAnsi="Times New Roman"/>
                  <w:sz w:val="18"/>
                  <w:szCs w:val="18"/>
                  <w:color w:val="0000FF"/>
                  <w:w w:val="97"/>
                </w:rPr>
                <w:t>Registrant and Fred Hutchinson Cancer Research</w:t>
              </w:r>
            </w:hyperlink>
          </w:p>
        </w:tc>
        <w:tc>
          <w:tcPr>
            <w:tcW w:w="560" w:type="dxa"/>
            <w:vAlign w:val="bottom"/>
            <w:gridSpan w:val="18"/>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80" w:type="dxa"/>
            <w:vAlign w:val="bottom"/>
            <w:tcBorders>
              <w:top w:val="single" w:sz="8" w:color="0000FF"/>
              <w:bottom w:val="single" w:sz="8" w:color="0000FF"/>
            </w:tcBorders>
            <w:gridSpan w:val="8"/>
          </w:tcPr>
          <w:p>
            <w:pPr>
              <w:spacing w:after="0" w:line="192" w:lineRule="exact"/>
              <w:rPr>
                <w:rFonts w:ascii="Times New Roman" w:cs="Times New Roman" w:eastAsia="Times New Roman" w:hAnsi="Times New Roman"/>
                <w:sz w:val="18"/>
                <w:szCs w:val="18"/>
                <w:color w:val="0000FF"/>
                <w:w w:val="98"/>
              </w:rPr>
            </w:pPr>
            <w:hyperlink r:id="rId194">
              <w:r>
                <w:rPr>
                  <w:rFonts w:ascii="Times New Roman" w:cs="Times New Roman" w:eastAsia="Times New Roman" w:hAnsi="Times New Roman"/>
                  <w:sz w:val="18"/>
                  <w:szCs w:val="18"/>
                  <w:color w:val="0000FF"/>
                  <w:w w:val="98"/>
                </w:rPr>
                <w:t>Center, dated December 19, 2018.</w:t>
              </w:r>
            </w:hyperlink>
          </w:p>
        </w:tc>
        <w:tc>
          <w:tcPr>
            <w:tcW w:w="1000" w:type="dxa"/>
            <w:vAlign w:val="bottom"/>
            <w:tcBorders>
              <w:top w:val="single" w:sz="8" w:color="0000FF"/>
            </w:tcBorders>
            <w:gridSpan w:val="5"/>
          </w:tcPr>
          <w:p>
            <w:pPr>
              <w:spacing w:after="0"/>
              <w:rPr>
                <w:sz w:val="16"/>
                <w:szCs w:val="16"/>
                <w:color w:val="auto"/>
              </w:rPr>
            </w:pPr>
          </w:p>
        </w:tc>
        <w:tc>
          <w:tcPr>
            <w:tcW w:w="580" w:type="dxa"/>
            <w:vAlign w:val="bottom"/>
            <w:gridSpan w:val="19"/>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30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w w:val="98"/>
              </w:rPr>
              <w:t>10.20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7"/>
              </w:rPr>
            </w:pPr>
            <w:hyperlink r:id="rId195">
              <w:r>
                <w:rPr>
                  <w:rFonts w:ascii="Times New Roman" w:cs="Times New Roman" w:eastAsia="Times New Roman" w:hAnsi="Times New Roman"/>
                  <w:sz w:val="18"/>
                  <w:szCs w:val="18"/>
                  <w:color w:val="0000FF"/>
                  <w:w w:val="97"/>
                </w:rPr>
                <w:t>Standard Office Lease for Building C by and between</w:t>
              </w:r>
            </w:hyperlink>
          </w:p>
        </w:tc>
        <w:tc>
          <w:tcPr>
            <w:tcW w:w="240" w:type="dxa"/>
            <w:vAlign w:val="bottom"/>
            <w:gridSpan w:val="6"/>
          </w:tcPr>
          <w:p>
            <w:pPr>
              <w:spacing w:after="0"/>
              <w:rPr>
                <w:sz w:val="21"/>
                <w:szCs w:val="21"/>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333-256470</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1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5/25/2021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40" w:type="dxa"/>
            <w:vAlign w:val="bottom"/>
            <w:tcBorders>
              <w:bottom w:val="single" w:sz="8" w:color="0000FF"/>
            </w:tcBorders>
            <w:gridSpan w:val="22"/>
          </w:tcPr>
          <w:p>
            <w:pPr>
              <w:spacing w:after="0" w:line="192" w:lineRule="exact"/>
              <w:rPr>
                <w:rFonts w:ascii="Times New Roman" w:cs="Times New Roman" w:eastAsia="Times New Roman" w:hAnsi="Times New Roman"/>
                <w:sz w:val="18"/>
                <w:szCs w:val="18"/>
                <w:color w:val="0000FF"/>
                <w:w w:val="97"/>
              </w:rPr>
            </w:pPr>
            <w:hyperlink r:id="rId195">
              <w:r>
                <w:rPr>
                  <w:rFonts w:ascii="Times New Roman" w:cs="Times New Roman" w:eastAsia="Times New Roman" w:hAnsi="Times New Roman"/>
                  <w:sz w:val="18"/>
                  <w:szCs w:val="18"/>
                  <w:color w:val="0000FF"/>
                  <w:w w:val="97"/>
                </w:rPr>
                <w:t>the Registrant and Bre Wa Office Owner LLC, dated</w:t>
              </w:r>
            </w:hyperlink>
          </w:p>
        </w:tc>
        <w:tc>
          <w:tcPr>
            <w:tcW w:w="320" w:type="dxa"/>
            <w:vAlign w:val="bottom"/>
            <w:gridSpan w:val="10"/>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Borders>
              <w:bottom w:val="single" w:sz="8" w:color="0000FF"/>
            </w:tcBorders>
            <w:gridSpan w:val="3"/>
          </w:tcPr>
          <w:p>
            <w:pPr>
              <w:spacing w:after="0" w:line="192" w:lineRule="exact"/>
              <w:rPr>
                <w:rFonts w:ascii="Times New Roman" w:cs="Times New Roman" w:eastAsia="Times New Roman" w:hAnsi="Times New Roman"/>
                <w:sz w:val="18"/>
                <w:szCs w:val="18"/>
                <w:color w:val="0000FF"/>
                <w:w w:val="96"/>
              </w:rPr>
            </w:pPr>
            <w:hyperlink r:id="rId195">
              <w:r>
                <w:rPr>
                  <w:rFonts w:ascii="Times New Roman" w:cs="Times New Roman" w:eastAsia="Times New Roman" w:hAnsi="Times New Roman"/>
                  <w:sz w:val="18"/>
                  <w:szCs w:val="18"/>
                  <w:color w:val="0000FF"/>
                  <w:w w:val="96"/>
                </w:rPr>
                <w:t>August 28, 2019.</w:t>
              </w:r>
            </w:hyperlink>
          </w:p>
        </w:tc>
        <w:tc>
          <w:tcPr>
            <w:tcW w:w="2840" w:type="dxa"/>
            <w:vAlign w:val="bottom"/>
            <w:gridSpan w:val="29"/>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30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w w:val="98"/>
              </w:rPr>
              <w:t>10.21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7"/>
              </w:rPr>
            </w:pPr>
            <w:hyperlink r:id="rId196">
              <w:r>
                <w:rPr>
                  <w:rFonts w:ascii="Times New Roman" w:cs="Times New Roman" w:eastAsia="Times New Roman" w:hAnsi="Times New Roman"/>
                  <w:sz w:val="18"/>
                  <w:szCs w:val="18"/>
                  <w:color w:val="0000FF"/>
                  <w:w w:val="97"/>
                </w:rPr>
                <w:t>Standard Office Lease for Building E by and between</w:t>
              </w:r>
            </w:hyperlink>
          </w:p>
        </w:tc>
        <w:tc>
          <w:tcPr>
            <w:tcW w:w="260" w:type="dxa"/>
            <w:vAlign w:val="bottom"/>
            <w:gridSpan w:val="7"/>
          </w:tcPr>
          <w:p>
            <w:pPr>
              <w:spacing w:after="0"/>
              <w:rPr>
                <w:sz w:val="21"/>
                <w:szCs w:val="21"/>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333-256470</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1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5/25/2021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40" w:type="dxa"/>
            <w:vAlign w:val="bottom"/>
            <w:tcBorders>
              <w:bottom w:val="single" w:sz="8" w:color="0000FF"/>
            </w:tcBorders>
            <w:gridSpan w:val="22"/>
          </w:tcPr>
          <w:p>
            <w:pPr>
              <w:spacing w:after="0" w:line="192" w:lineRule="exact"/>
              <w:rPr>
                <w:rFonts w:ascii="Times New Roman" w:cs="Times New Roman" w:eastAsia="Times New Roman" w:hAnsi="Times New Roman"/>
                <w:sz w:val="18"/>
                <w:szCs w:val="18"/>
                <w:color w:val="0000FF"/>
                <w:w w:val="97"/>
              </w:rPr>
            </w:pPr>
            <w:hyperlink r:id="rId196">
              <w:r>
                <w:rPr>
                  <w:rFonts w:ascii="Times New Roman" w:cs="Times New Roman" w:eastAsia="Times New Roman" w:hAnsi="Times New Roman"/>
                  <w:sz w:val="18"/>
                  <w:szCs w:val="18"/>
                  <w:color w:val="0000FF"/>
                  <w:w w:val="97"/>
                </w:rPr>
                <w:t>the Registrant and Bre Wa Office Owner LLC, dated</w:t>
              </w:r>
            </w:hyperlink>
          </w:p>
        </w:tc>
        <w:tc>
          <w:tcPr>
            <w:tcW w:w="320" w:type="dxa"/>
            <w:vAlign w:val="bottom"/>
            <w:gridSpan w:val="10"/>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Borders>
              <w:bottom w:val="single" w:sz="8" w:color="0000FF"/>
            </w:tcBorders>
            <w:gridSpan w:val="3"/>
          </w:tcPr>
          <w:p>
            <w:pPr>
              <w:spacing w:after="0" w:line="192" w:lineRule="exact"/>
              <w:rPr>
                <w:rFonts w:ascii="Times New Roman" w:cs="Times New Roman" w:eastAsia="Times New Roman" w:hAnsi="Times New Roman"/>
                <w:sz w:val="18"/>
                <w:szCs w:val="18"/>
                <w:color w:val="0000FF"/>
                <w:w w:val="96"/>
              </w:rPr>
            </w:pPr>
            <w:hyperlink r:id="rId196">
              <w:r>
                <w:rPr>
                  <w:rFonts w:ascii="Times New Roman" w:cs="Times New Roman" w:eastAsia="Times New Roman" w:hAnsi="Times New Roman"/>
                  <w:sz w:val="18"/>
                  <w:szCs w:val="18"/>
                  <w:color w:val="0000FF"/>
                  <w:w w:val="96"/>
                </w:rPr>
                <w:t>August 28, 2019.</w:t>
              </w:r>
            </w:hyperlink>
          </w:p>
        </w:tc>
        <w:tc>
          <w:tcPr>
            <w:tcW w:w="2840" w:type="dxa"/>
            <w:vAlign w:val="bottom"/>
            <w:gridSpan w:val="29"/>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30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w w:val="98"/>
              </w:rPr>
              <w:t>10.22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7"/>
              </w:rPr>
            </w:pPr>
            <w:hyperlink r:id="rId197">
              <w:r>
                <w:rPr>
                  <w:rFonts w:ascii="Times New Roman" w:cs="Times New Roman" w:eastAsia="Times New Roman" w:hAnsi="Times New Roman"/>
                  <w:sz w:val="18"/>
                  <w:szCs w:val="18"/>
                  <w:color w:val="0000FF"/>
                  <w:w w:val="97"/>
                </w:rPr>
                <w:t>Lease by and between the Registrant and BMR-500</w:t>
              </w:r>
            </w:hyperlink>
          </w:p>
        </w:tc>
        <w:tc>
          <w:tcPr>
            <w:tcW w:w="400" w:type="dxa"/>
            <w:vAlign w:val="bottom"/>
            <w:gridSpan w:val="13"/>
          </w:tcPr>
          <w:p>
            <w:pPr>
              <w:spacing w:after="0"/>
              <w:rPr>
                <w:sz w:val="21"/>
                <w:szCs w:val="21"/>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333-256470</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1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5/25/2021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60" w:type="dxa"/>
            <w:vAlign w:val="bottom"/>
            <w:gridSpan w:val="32"/>
          </w:tcPr>
          <w:p>
            <w:pPr>
              <w:spacing w:after="0" w:line="192"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Fairview Avenue LLC, dated November 27, 2018, as</w:t>
              </w:r>
            </w:hyperlink>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40" w:type="dxa"/>
            <w:vAlign w:val="bottom"/>
            <w:tcBorders>
              <w:top w:val="single" w:sz="8" w:color="0000FF"/>
            </w:tcBorders>
            <w:gridSpan w:val="22"/>
          </w:tcPr>
          <w:p>
            <w:pPr>
              <w:spacing w:after="0" w:line="192"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amended.</w:t>
              </w:r>
            </w:hyperlink>
          </w:p>
        </w:tc>
        <w:tc>
          <w:tcPr>
            <w:tcW w:w="320" w:type="dxa"/>
            <w:vAlign w:val="bottom"/>
            <w:gridSpan w:val="10"/>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320" w:type="dxa"/>
            <w:vAlign w:val="bottom"/>
            <w:gridSpan w:val="1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40" w:type="dxa"/>
            <w:vAlign w:val="bottom"/>
            <w:gridSpan w:val="11"/>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30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w w:val="98"/>
              </w:rPr>
              <w:t>10.23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60" w:type="dxa"/>
            <w:vAlign w:val="bottom"/>
            <w:gridSpan w:val="32"/>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Lease Agreement by and between the Registrant and</w:t>
              </w:r>
            </w:hyperlink>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333-256470</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1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5/25/2021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20" w:type="dxa"/>
            <w:vAlign w:val="bottom"/>
            <w:tcBorders>
              <w:top w:val="single" w:sz="8" w:color="0000FF"/>
            </w:tcBorders>
            <w:gridSpan w:val="21"/>
          </w:tcPr>
          <w:p>
            <w:pPr>
              <w:spacing w:after="0" w:line="192"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ARE-San Francisco No. 65, LLC, dated August 15,</w:t>
              </w:r>
            </w:hyperlink>
          </w:p>
        </w:tc>
        <w:tc>
          <w:tcPr>
            <w:tcW w:w="340" w:type="dxa"/>
            <w:vAlign w:val="bottom"/>
            <w:gridSpan w:val="11"/>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Borders>
              <w:top w:val="single" w:sz="8" w:color="0000FF"/>
              <w:bottom w:val="single" w:sz="8" w:color="0000FF"/>
            </w:tcBorders>
            <w:gridSpan w:val="4"/>
          </w:tcPr>
          <w:p>
            <w:pPr>
              <w:spacing w:after="0" w:line="192" w:lineRule="exact"/>
              <w:rPr>
                <w:rFonts w:ascii="Times New Roman" w:cs="Times New Roman" w:eastAsia="Times New Roman" w:hAnsi="Times New Roman"/>
                <w:sz w:val="18"/>
                <w:szCs w:val="18"/>
                <w:color w:val="0000FF"/>
                <w:w w:val="96"/>
              </w:rPr>
            </w:pPr>
            <w:hyperlink r:id="rId198">
              <w:r>
                <w:rPr>
                  <w:rFonts w:ascii="Times New Roman" w:cs="Times New Roman" w:eastAsia="Times New Roman" w:hAnsi="Times New Roman"/>
                  <w:sz w:val="18"/>
                  <w:szCs w:val="18"/>
                  <w:color w:val="0000FF"/>
                  <w:w w:val="96"/>
                </w:rPr>
                <w:t>2019, as amended.</w:t>
              </w:r>
            </w:hyperlink>
          </w:p>
        </w:tc>
        <w:tc>
          <w:tcPr>
            <w:tcW w:w="2320" w:type="dxa"/>
            <w:vAlign w:val="bottom"/>
            <w:tcBorders>
              <w:top w:val="single" w:sz="8" w:color="0000FF"/>
            </w:tcBorders>
            <w:gridSpan w:val="14"/>
          </w:tcPr>
          <w:p>
            <w:pPr>
              <w:spacing w:after="0"/>
              <w:rPr>
                <w:sz w:val="16"/>
                <w:szCs w:val="16"/>
                <w:color w:val="auto"/>
              </w:rPr>
            </w:pPr>
          </w:p>
        </w:tc>
        <w:tc>
          <w:tcPr>
            <w:tcW w:w="420" w:type="dxa"/>
            <w:vAlign w:val="bottom"/>
            <w:gridSpan w:val="14"/>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3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auto"/>
                <w:w w:val="95"/>
              </w:rPr>
              <w:t>23.1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20" w:type="dxa"/>
            <w:vAlign w:val="bottom"/>
            <w:tcBorders>
              <w:top w:val="single" w:sz="8" w:color="0000FF"/>
            </w:tcBorders>
            <w:gridSpan w:val="21"/>
          </w:tcPr>
          <w:p>
            <w:pPr>
              <w:spacing w:after="0" w:line="192" w:lineRule="exact"/>
              <w:rPr>
                <w:sz w:val="20"/>
                <w:szCs w:val="20"/>
                <w:color w:val="auto"/>
              </w:rPr>
            </w:pPr>
            <w:r>
              <w:rPr>
                <w:rFonts w:ascii="Times New Roman" w:cs="Times New Roman" w:eastAsia="Times New Roman" w:hAnsi="Times New Roman"/>
                <w:sz w:val="18"/>
                <w:szCs w:val="18"/>
                <w:color w:val="0000FF"/>
              </w:rPr>
              <w:t>firm.</w:t>
            </w:r>
          </w:p>
        </w:tc>
        <w:tc>
          <w:tcPr>
            <w:tcW w:w="340" w:type="dxa"/>
            <w:vAlign w:val="bottom"/>
            <w:gridSpan w:val="11"/>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5"/>
        </w:trPr>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ectPr>
          <w:pgSz w:w="11900" w:h="16838" w:orient="portrait"/>
          <w:cols w:equalWidth="0" w:num="1">
            <w:col w:w="10940"/>
          </w:cols>
          <w:pgMar w:left="320" w:top="11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6"/>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38"/>
        </w:trPr>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192"/>
        </w:trPr>
        <w:tc>
          <w:tcPr>
            <w:tcW w:w="98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5"/>
              </w:rPr>
              <w:t>24.1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20" w:type="dxa"/>
            <w:vAlign w:val="bottom"/>
            <w:tcBorders>
              <w:bottom w:val="single" w:sz="8" w:color="0000FF"/>
            </w:tcBorders>
            <w:gridSpan w:val="3"/>
          </w:tcPr>
          <w:p>
            <w:pPr>
              <w:spacing w:after="0" w:line="192" w:lineRule="exact"/>
              <w:rPr>
                <w:sz w:val="20"/>
                <w:szCs w:val="20"/>
                <w:color w:val="auto"/>
              </w:rPr>
            </w:pPr>
            <w:r>
              <w:rPr>
                <w:rFonts w:ascii="Times New Roman" w:cs="Times New Roman" w:eastAsia="Times New Roman" w:hAnsi="Times New Roman"/>
                <w:sz w:val="18"/>
                <w:szCs w:val="18"/>
                <w:color w:val="0000FF"/>
                <w:w w:val="97"/>
              </w:rPr>
              <w:t>Power of Attorney (included on signature page).</w:t>
            </w:r>
          </w:p>
        </w:tc>
        <w:tc>
          <w:tcPr>
            <w:tcW w:w="540" w:type="dxa"/>
            <w:vAlign w:val="bottom"/>
            <w:gridSpan w:val="4"/>
          </w:tcPr>
          <w:p>
            <w:pPr>
              <w:spacing w:after="0"/>
              <w:rPr>
                <w:sz w:val="16"/>
                <w:szCs w:val="16"/>
                <w:color w:val="auto"/>
              </w:rPr>
            </w:pPr>
          </w:p>
        </w:tc>
      </w:tr>
      <w:tr>
        <w:trPr>
          <w:trHeight w:val="245"/>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Certification of Principal Executive Officer Pursuant to</w:t>
            </w:r>
          </w:p>
        </w:tc>
      </w:tr>
      <w:tr>
        <w:trPr>
          <w:trHeight w:val="192"/>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Borders>
              <w:top w:val="single" w:sz="8" w:color="0000FF"/>
              <w:bottom w:val="single" w:sz="8" w:color="0000FF"/>
            </w:tcBorders>
            <w:gridSpan w:val="2"/>
          </w:tcPr>
          <w:p>
            <w:pPr>
              <w:spacing w:after="0" w:line="192" w:lineRule="exact"/>
              <w:rPr>
                <w:sz w:val="20"/>
                <w:szCs w:val="20"/>
                <w:color w:val="auto"/>
              </w:rPr>
            </w:pPr>
            <w:r>
              <w:rPr>
                <w:rFonts w:ascii="Times New Roman" w:cs="Times New Roman" w:eastAsia="Times New Roman" w:hAnsi="Times New Roman"/>
                <w:sz w:val="18"/>
                <w:szCs w:val="18"/>
                <w:color w:val="0000FF"/>
                <w:w w:val="97"/>
              </w:rPr>
              <w:t>Rules 13a-14(a) and 15d-14(a).</w:t>
            </w:r>
          </w:p>
        </w:tc>
        <w:tc>
          <w:tcPr>
            <w:tcW w:w="1680" w:type="dxa"/>
            <w:vAlign w:val="bottom"/>
            <w:tcBorders>
              <w:top w:val="single" w:sz="8" w:color="0000FF"/>
            </w:tcBorders>
            <w:gridSpan w:val="4"/>
          </w:tcPr>
          <w:p>
            <w:pPr>
              <w:spacing w:after="0"/>
              <w:rPr>
                <w:sz w:val="16"/>
                <w:szCs w:val="16"/>
                <w:color w:val="auto"/>
              </w:rPr>
            </w:pPr>
          </w:p>
        </w:tc>
        <w:tc>
          <w:tcPr>
            <w:tcW w:w="60" w:type="dxa"/>
            <w:vAlign w:val="bottom"/>
          </w:tcPr>
          <w:p>
            <w:pPr>
              <w:spacing w:after="0"/>
              <w:rPr>
                <w:sz w:val="16"/>
                <w:szCs w:val="16"/>
                <w:color w:val="auto"/>
              </w:rPr>
            </w:pPr>
          </w:p>
        </w:tc>
      </w:tr>
      <w:tr>
        <w:trPr>
          <w:trHeight w:val="245"/>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Certification of Principal Financial Officer Pursuant to</w:t>
            </w:r>
          </w:p>
        </w:tc>
        <w:tc>
          <w:tcPr>
            <w:tcW w:w="100" w:type="dxa"/>
            <w:vAlign w:val="bottom"/>
            <w:gridSpan w:val="2"/>
          </w:tcPr>
          <w:p>
            <w:pPr>
              <w:spacing w:after="0"/>
              <w:rPr>
                <w:sz w:val="21"/>
                <w:szCs w:val="21"/>
                <w:color w:val="auto"/>
              </w:rPr>
            </w:pPr>
          </w:p>
        </w:tc>
      </w:tr>
      <w:tr>
        <w:trPr>
          <w:trHeight w:val="192"/>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Borders>
              <w:bottom w:val="single" w:sz="8" w:color="0000FF"/>
            </w:tcBorders>
            <w:gridSpan w:val="2"/>
          </w:tcPr>
          <w:p>
            <w:pPr>
              <w:spacing w:after="0" w:line="192" w:lineRule="exact"/>
              <w:rPr>
                <w:sz w:val="20"/>
                <w:szCs w:val="20"/>
                <w:color w:val="auto"/>
              </w:rPr>
            </w:pPr>
            <w:r>
              <w:rPr>
                <w:rFonts w:ascii="Times New Roman" w:cs="Times New Roman" w:eastAsia="Times New Roman" w:hAnsi="Times New Roman"/>
                <w:sz w:val="18"/>
                <w:szCs w:val="18"/>
                <w:color w:val="0000FF"/>
                <w:w w:val="97"/>
              </w:rPr>
              <w:t>Rules 13a-14(a) and 15d-14(a).</w:t>
            </w:r>
          </w:p>
        </w:tc>
        <w:tc>
          <w:tcPr>
            <w:tcW w:w="1740" w:type="dxa"/>
            <w:vAlign w:val="bottom"/>
            <w:gridSpan w:val="5"/>
          </w:tcPr>
          <w:p>
            <w:pPr>
              <w:spacing w:after="0"/>
              <w:rPr>
                <w:sz w:val="16"/>
                <w:szCs w:val="16"/>
                <w:color w:val="auto"/>
              </w:rPr>
            </w:pPr>
          </w:p>
        </w:tc>
      </w:tr>
      <w:tr>
        <w:trPr>
          <w:trHeight w:val="245"/>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Certifications of Principal Executive Officer and</w:t>
            </w: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r>
      <w:tr>
        <w:trPr>
          <w:trHeight w:val="192"/>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60" w:type="dxa"/>
            <w:vAlign w:val="bottom"/>
            <w:gridSpan w:val="7"/>
          </w:tcPr>
          <w:p>
            <w:pPr>
              <w:spacing w:after="0" w:line="192" w:lineRule="exact"/>
              <w:rPr>
                <w:sz w:val="20"/>
                <w:szCs w:val="20"/>
                <w:color w:val="auto"/>
              </w:rPr>
            </w:pPr>
            <w:r>
              <w:rPr>
                <w:rFonts w:ascii="Times New Roman" w:cs="Times New Roman" w:eastAsia="Times New Roman" w:hAnsi="Times New Roman"/>
                <w:sz w:val="18"/>
                <w:szCs w:val="18"/>
                <w:color w:val="0000FF"/>
              </w:rPr>
              <w:t>Principal Financial Officer Pursuant to 18 U.S.C.</w:t>
            </w:r>
          </w:p>
        </w:tc>
      </w:tr>
      <w:tr>
        <w:trPr>
          <w:trHeight w:val="192"/>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60" w:type="dxa"/>
            <w:vAlign w:val="bottom"/>
            <w:tcBorders>
              <w:top w:val="single" w:sz="8" w:color="0000FF"/>
            </w:tcBorders>
            <w:gridSpan w:val="4"/>
          </w:tcPr>
          <w:p>
            <w:pPr>
              <w:spacing w:after="0" w:line="192" w:lineRule="exact"/>
              <w:rPr>
                <w:sz w:val="20"/>
                <w:szCs w:val="20"/>
                <w:color w:val="auto"/>
              </w:rPr>
            </w:pPr>
            <w:r>
              <w:rPr>
                <w:rFonts w:ascii="Times New Roman" w:cs="Times New Roman" w:eastAsia="Times New Roman" w:hAnsi="Times New Roman"/>
                <w:sz w:val="18"/>
                <w:szCs w:val="18"/>
                <w:color w:val="0000FF"/>
              </w:rPr>
              <w:t>Section 1350.</w:t>
            </w:r>
          </w:p>
        </w:tc>
        <w:tc>
          <w:tcPr>
            <w:tcW w:w="500" w:type="dxa"/>
            <w:vAlign w:val="bottom"/>
            <w:gridSpan w:val="3"/>
          </w:tcPr>
          <w:p>
            <w:pPr>
              <w:spacing w:after="0"/>
              <w:rPr>
                <w:sz w:val="16"/>
                <w:szCs w:val="16"/>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r>
      <w:tr>
        <w:trPr>
          <w:trHeight w:val="286"/>
        </w:trPr>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24"/>
                <w:szCs w:val="24"/>
                <w:color w:val="auto"/>
              </w:rPr>
            </w:pPr>
          </w:p>
        </w:tc>
        <w:tc>
          <w:tcPr>
            <w:tcW w:w="3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77"/>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4"/>
                <w:szCs w:val="24"/>
                <w:color w:val="auto"/>
              </w:rPr>
            </w:pPr>
          </w:p>
        </w:tc>
        <w:tc>
          <w:tcPr>
            <w:tcW w:w="396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8"/>
              </w:rPr>
              <w:t>Inline XBRL Taxonomy Extension Schema Document.</w:t>
            </w:r>
          </w:p>
        </w:tc>
      </w:tr>
      <w:tr>
        <w:trPr>
          <w:trHeight w:val="246"/>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101.CAL</w:t>
            </w:r>
          </w:p>
        </w:tc>
        <w:tc>
          <w:tcPr>
            <w:tcW w:w="20" w:type="dxa"/>
            <w:vAlign w:val="bottom"/>
          </w:tcPr>
          <w:p>
            <w:pPr>
              <w:spacing w:after="0"/>
              <w:rPr>
                <w:sz w:val="21"/>
                <w:szCs w:val="21"/>
                <w:color w:val="auto"/>
              </w:rPr>
            </w:pPr>
          </w:p>
        </w:tc>
        <w:tc>
          <w:tcPr>
            <w:tcW w:w="3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231"/>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Linkbase Document.</w:t>
            </w:r>
          </w:p>
        </w:tc>
      </w:tr>
      <w:tr>
        <w:trPr>
          <w:trHeight w:val="246"/>
        </w:trPr>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101.DEF</w:t>
            </w:r>
          </w:p>
        </w:tc>
        <w:tc>
          <w:tcPr>
            <w:tcW w:w="20" w:type="dxa"/>
            <w:vAlign w:val="bottom"/>
          </w:tcPr>
          <w:p>
            <w:pPr>
              <w:spacing w:after="0"/>
              <w:rPr>
                <w:sz w:val="21"/>
                <w:szCs w:val="21"/>
                <w:color w:val="auto"/>
              </w:rPr>
            </w:pPr>
          </w:p>
        </w:tc>
        <w:tc>
          <w:tcPr>
            <w:tcW w:w="396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7"/>
              </w:rPr>
              <w:t>Inline XBRL Taxonomy Extension Definition Linkbase</w:t>
            </w:r>
          </w:p>
        </w:tc>
      </w:tr>
      <w:tr>
        <w:trPr>
          <w:trHeight w:val="231"/>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246"/>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101.LAB</w:t>
            </w:r>
          </w:p>
        </w:tc>
        <w:tc>
          <w:tcPr>
            <w:tcW w:w="20" w:type="dxa"/>
            <w:vAlign w:val="bottom"/>
          </w:tcPr>
          <w:p>
            <w:pPr>
              <w:spacing w:after="0"/>
              <w:rPr>
                <w:sz w:val="21"/>
                <w:szCs w:val="21"/>
                <w:color w:val="auto"/>
              </w:rPr>
            </w:pPr>
          </w:p>
        </w:tc>
        <w:tc>
          <w:tcPr>
            <w:tcW w:w="3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31"/>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246"/>
        </w:trPr>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1"/>
                <w:szCs w:val="21"/>
                <w:color w:val="auto"/>
              </w:rPr>
            </w:pPr>
          </w:p>
        </w:tc>
        <w:tc>
          <w:tcPr>
            <w:tcW w:w="3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r>
      <w:tr>
        <w:trPr>
          <w:trHeight w:val="231"/>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Linkbase Document.</w:t>
            </w:r>
          </w:p>
        </w:tc>
      </w:tr>
      <w:tr>
        <w:trPr>
          <w:trHeight w:val="265"/>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256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8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Filing</w:t>
            </w:r>
          </w:p>
        </w:tc>
        <w:tc>
          <w:tcPr>
            <w:tcW w:w="820" w:type="dxa"/>
            <w:vAlign w:val="bottom"/>
            <w:vMerge w:val="restart"/>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59"/>
        </w:trPr>
        <w:tc>
          <w:tcPr>
            <w:tcW w:w="8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40" w:type="dxa"/>
            <w:vAlign w:val="bottom"/>
          </w:tcPr>
          <w:p>
            <w:pPr>
              <w:jc w:val="center"/>
              <w:ind w:right="29"/>
              <w:spacing w:after="0" w:line="159" w:lineRule="exact"/>
              <w:rPr>
                <w:sz w:val="20"/>
                <w:szCs w:val="20"/>
                <w:color w:val="auto"/>
              </w:rPr>
            </w:pPr>
            <w:r>
              <w:rPr>
                <w:rFonts w:ascii="Times New Roman" w:cs="Times New Roman" w:eastAsia="Times New Roman" w:hAnsi="Times New Roman"/>
                <w:sz w:val="14"/>
                <w:szCs w:val="14"/>
                <w:b w:val="1"/>
                <w:bCs w:val="1"/>
                <w:color w:val="auto"/>
                <w:w w:val="99"/>
              </w:rPr>
              <w:t>Appendix</w:t>
            </w:r>
          </w:p>
        </w:tc>
        <w:tc>
          <w:tcPr>
            <w:tcW w:w="10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24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20" w:type="dxa"/>
            <w:vAlign w:val="bottom"/>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40741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3407410" cy="8255"/>
                    </a:xfrm>
                    <a:prstGeom prst="rect">
                      <a:avLst/>
                    </a:prstGeom>
                    <a:noFill/>
                  </pic:spPr>
                </pic:pic>
              </a:graphicData>
            </a:graphic>
          </wp:anchor>
        </w:drawing>
      </w:r>
    </w:p>
    <w:p>
      <w:pPr>
        <w:spacing w:after="0" w:line="2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X</w:t>
      </w:r>
    </w:p>
    <w:p>
      <w:pPr>
        <w:spacing w:after="0" w:line="5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X</w:t>
      </w:r>
    </w:p>
    <w:p>
      <w:pPr>
        <w:spacing w:after="0" w:line="27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X</w:t>
      </w:r>
    </w:p>
    <w:p>
      <w:pPr>
        <w:spacing w:after="0" w:line="27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82" w:lineRule="exact"/>
        <w:rPr>
          <w:sz w:val="20"/>
          <w:szCs w:val="20"/>
          <w:color w:val="auto"/>
        </w:rPr>
      </w:pPr>
    </w:p>
    <w:p>
      <w:pPr>
        <w:ind w:left="20" w:right="200"/>
        <w:spacing w:after="0" w:line="292" w:lineRule="auto"/>
        <w:rPr>
          <w:sz w:val="20"/>
          <w:szCs w:val="20"/>
          <w:color w:val="auto"/>
        </w:rPr>
      </w:pPr>
      <w:r>
        <w:rPr>
          <w:rFonts w:ascii="Times New Roman" w:cs="Times New Roman" w:eastAsia="Times New Roman" w:hAnsi="Times New Roman"/>
          <w:sz w:val="17"/>
          <w:szCs w:val="17"/>
          <w:color w:val="auto"/>
        </w:rPr>
        <w:t>The XBRL instance document does not appear in the Interactive Data File because its XBRL tags are embedded within the Inline XBRL document.</w:t>
      </w:r>
    </w:p>
    <w:p>
      <w:pPr>
        <w:spacing w:after="0" w:line="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X</w:t>
      </w:r>
    </w:p>
    <w:p>
      <w:pPr>
        <w:spacing w:after="0" w:line="5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X</w:t>
      </w:r>
    </w:p>
    <w:p>
      <w:pPr>
        <w:spacing w:after="0" w:line="27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X</w:t>
      </w:r>
    </w:p>
    <w:p>
      <w:pPr>
        <w:spacing w:after="0" w:line="27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X</w:t>
      </w:r>
    </w:p>
    <w:p>
      <w:pPr>
        <w:spacing w:after="0" w:line="27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X</w:t>
      </w: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Formatted as Inline XBRL and contained in Exhibit 101.</w:t>
      </w:r>
    </w:p>
    <w:p>
      <w:pPr>
        <w:spacing w:after="0" w:line="224" w:lineRule="exact"/>
        <w:rPr>
          <w:sz w:val="20"/>
          <w:szCs w:val="20"/>
          <w:color w:val="auto"/>
        </w:rPr>
      </w:pPr>
    </w:p>
    <w:p>
      <w:pPr>
        <w:sectPr>
          <w:pgSz w:w="11900" w:h="16838" w:orient="portrait"/>
          <w:cols w:equalWidth="0" w:num="2">
            <w:col w:w="5380" w:space="100"/>
            <w:col w:w="5460"/>
          </w:cols>
          <w:pgMar w:left="320" w:top="119" w:right="639" w:bottom="1440" w:gutter="0" w:footer="0" w:header="0"/>
          <w:type w:val="continuous"/>
        </w:sectPr>
      </w:pPr>
    </w:p>
    <w:p>
      <w:pPr>
        <w:spacing w:after="0" w:line="1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*Portions of this exhibit (indicated by [*]) have been omitted because the registrant has determined that the information is both not material and is the type that the registrant treats as private or confidential.</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40"/>
          </w:cols>
          <w:pgMar w:left="320" w:top="119" w:right="63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ind w:right="20" w:firstLine="636"/>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Act of 1934, the Registrant has duly caused this Annual Report on Form 10-K to be signed on its behalf by the undersigned, thereunto duly authorized, in the City of South San Francisco, State of California on February 28, 2023.</w:t>
      </w:r>
    </w:p>
    <w:p>
      <w:pPr>
        <w:spacing w:after="0" w:line="24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LYELL IMMUNOPHARMA, INC.</w:t>
      </w:r>
    </w:p>
    <w:p>
      <w:pPr>
        <w:spacing w:after="0" w:line="272" w:lineRule="exact"/>
        <w:rPr>
          <w:sz w:val="20"/>
          <w:szCs w:val="20"/>
          <w:color w:val="auto"/>
        </w:rPr>
      </w:pPr>
    </w:p>
    <w:p>
      <w:pPr>
        <w:ind w:left="52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LYNN SEELY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2137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3213735" cy="8255"/>
                    </a:xfrm>
                    <a:prstGeom prst="rect">
                      <a:avLst/>
                    </a:prstGeom>
                    <a:noFill/>
                  </pic:spPr>
                </pic:pic>
              </a:graphicData>
            </a:graphic>
          </wp:anchor>
        </w:drawing>
      </w:r>
    </w:p>
    <w:p>
      <w:pPr>
        <w:spacing w:after="0" w:line="17" w:lineRule="exact"/>
        <w:rPr>
          <w:sz w:val="20"/>
          <w:szCs w:val="20"/>
          <w:color w:val="auto"/>
        </w:rPr>
      </w:pPr>
    </w:p>
    <w:p>
      <w:pPr>
        <w:ind w:left="5220"/>
        <w:spacing w:after="0"/>
        <w:tabs>
          <w:tab w:leader="none" w:pos="61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4"/>
          <w:szCs w:val="14"/>
          <w:b w:val="1"/>
          <w:bCs w:val="1"/>
          <w:color w:val="auto"/>
        </w:rPr>
        <w:t>Lynn Seely, M.D.</w:t>
      </w:r>
    </w:p>
    <w:p>
      <w:pPr>
        <w:spacing w:after="0" w:line="56" w:lineRule="exact"/>
        <w:rPr>
          <w:sz w:val="20"/>
          <w:szCs w:val="20"/>
          <w:color w:val="auto"/>
        </w:rPr>
      </w:pPr>
    </w:p>
    <w:p>
      <w:pPr>
        <w:ind w:left="52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4"/>
          <w:szCs w:val="14"/>
          <w:color w:val="auto"/>
        </w:rPr>
        <w:t>President and Chief Executive Officer</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13" w:lineRule="exact"/>
        <w:rPr>
          <w:sz w:val="20"/>
          <w:szCs w:val="20"/>
          <w:color w:val="auto"/>
        </w:rPr>
      </w:pPr>
    </w:p>
    <w:p>
      <w:pPr>
        <w:ind w:firstLine="636"/>
        <w:spacing w:after="0" w:line="250"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Lynn Seely, Charles Newton and Rahsaan Thompson, and each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87" w:lineRule="exact"/>
        <w:rPr>
          <w:sz w:val="20"/>
          <w:szCs w:val="20"/>
          <w:color w:val="auto"/>
        </w:rPr>
      </w:pPr>
    </w:p>
    <w:p>
      <w:pPr>
        <w:ind w:right="160" w:firstLine="636"/>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this Annual Report on Form 10-K has been signed by the following persons on behalf of the Registrant and in the capacities and on the dates indicated: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700" w:type="dxa"/>
            <w:vAlign w:val="bottom"/>
          </w:tcPr>
          <w:p>
            <w:pPr>
              <w:spacing w:after="0"/>
              <w:rPr>
                <w:sz w:val="13"/>
                <w:szCs w:val="13"/>
                <w:color w:val="auto"/>
              </w:rPr>
            </w:pPr>
          </w:p>
        </w:tc>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780" w:type="dxa"/>
            <w:vAlign w:val="bottom"/>
          </w:tcPr>
          <w:p>
            <w:pPr>
              <w:spacing w:after="0"/>
              <w:rPr>
                <w:sz w:val="13"/>
                <w:szCs w:val="13"/>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/s/ LYNN SEELY</w:t>
            </w:r>
          </w:p>
        </w:tc>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President, Chief Executive Officer and Director</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February 28, 2023</w:t>
            </w:r>
          </w:p>
        </w:tc>
        <w:tc>
          <w:tcPr>
            <w:tcW w:w="0" w:type="dxa"/>
            <w:vAlign w:val="bottom"/>
          </w:tcPr>
          <w:p>
            <w:pPr>
              <w:spacing w:after="0"/>
              <w:rPr>
                <w:sz w:val="1"/>
                <w:szCs w:val="1"/>
                <w:color w:val="auto"/>
              </w:rPr>
            </w:pPr>
          </w:p>
        </w:tc>
      </w:tr>
      <w:tr>
        <w:trPr>
          <w:trHeight w:val="25"/>
        </w:trPr>
        <w:tc>
          <w:tcPr>
            <w:tcW w:w="1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4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8"/>
              </w:rPr>
              <w:t>(Principal Executive Officer)</w:t>
            </w: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Lynn Seely, M.D.</w:t>
            </w:r>
          </w:p>
        </w:tc>
        <w:tc>
          <w:tcPr>
            <w:tcW w:w="5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CHARLES NEWTON</w:t>
            </w:r>
          </w:p>
        </w:tc>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Chief Financial Officer</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February 28, 2023</w:t>
            </w:r>
          </w:p>
        </w:tc>
        <w:tc>
          <w:tcPr>
            <w:tcW w:w="0" w:type="dxa"/>
            <w:vAlign w:val="bottom"/>
          </w:tcPr>
          <w:p>
            <w:pPr>
              <w:spacing w:after="0"/>
              <w:rPr>
                <w:sz w:val="1"/>
                <w:szCs w:val="1"/>
                <w:color w:val="auto"/>
              </w:rPr>
            </w:pPr>
          </w:p>
        </w:tc>
      </w:tr>
      <w:tr>
        <w:trPr>
          <w:trHeight w:val="25"/>
        </w:trPr>
        <w:tc>
          <w:tcPr>
            <w:tcW w:w="1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4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8"/>
              </w:rPr>
              <w:t>(Principal Financial and Accounting Officer)</w:t>
            </w: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Charles Newton</w:t>
            </w:r>
          </w:p>
        </w:tc>
        <w:tc>
          <w:tcPr>
            <w:tcW w:w="5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RICHARD D. KLAUSNER</w:t>
            </w:r>
          </w:p>
        </w:tc>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Chair of the Board of Directors</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February 28, 2023</w:t>
            </w:r>
          </w:p>
        </w:tc>
        <w:tc>
          <w:tcPr>
            <w:tcW w:w="0" w:type="dxa"/>
            <w:vAlign w:val="bottom"/>
          </w:tcPr>
          <w:p>
            <w:pPr>
              <w:spacing w:after="0"/>
              <w:rPr>
                <w:sz w:val="1"/>
                <w:szCs w:val="1"/>
                <w:color w:val="auto"/>
              </w:rPr>
            </w:pPr>
          </w:p>
        </w:tc>
      </w:tr>
      <w:tr>
        <w:trPr>
          <w:trHeight w:val="25"/>
        </w:trPr>
        <w:tc>
          <w:tcPr>
            <w:tcW w:w="1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Richard D. Klausner, M.D.</w:t>
            </w:r>
          </w:p>
        </w:tc>
        <w:tc>
          <w:tcPr>
            <w:tcW w:w="2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6"/>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HANS BISHOP</w:t>
            </w:r>
          </w:p>
        </w:tc>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February 28, 2023</w:t>
            </w:r>
          </w:p>
        </w:tc>
        <w:tc>
          <w:tcPr>
            <w:tcW w:w="0" w:type="dxa"/>
            <w:vAlign w:val="bottom"/>
          </w:tcPr>
          <w:p>
            <w:pPr>
              <w:spacing w:after="0"/>
              <w:rPr>
                <w:sz w:val="1"/>
                <w:szCs w:val="1"/>
                <w:color w:val="auto"/>
              </w:rPr>
            </w:pPr>
          </w:p>
        </w:tc>
      </w:tr>
      <w:tr>
        <w:trPr>
          <w:trHeight w:val="25"/>
        </w:trPr>
        <w:tc>
          <w:tcPr>
            <w:tcW w:w="1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Hans Bishop</w:t>
            </w:r>
          </w:p>
        </w:tc>
        <w:tc>
          <w:tcPr>
            <w:tcW w:w="2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6"/>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OTIS BRAWLEY</w:t>
            </w:r>
          </w:p>
        </w:tc>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February 28, 2023</w:t>
            </w:r>
          </w:p>
        </w:tc>
        <w:tc>
          <w:tcPr>
            <w:tcW w:w="0" w:type="dxa"/>
            <w:vAlign w:val="bottom"/>
          </w:tcPr>
          <w:p>
            <w:pPr>
              <w:spacing w:after="0"/>
              <w:rPr>
                <w:sz w:val="1"/>
                <w:szCs w:val="1"/>
                <w:color w:val="auto"/>
              </w:rPr>
            </w:pPr>
          </w:p>
        </w:tc>
      </w:tr>
      <w:tr>
        <w:trPr>
          <w:trHeight w:val="25"/>
        </w:trPr>
        <w:tc>
          <w:tcPr>
            <w:tcW w:w="1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Otis Brawley, M.D.</w:t>
            </w:r>
          </w:p>
        </w:tc>
        <w:tc>
          <w:tcPr>
            <w:tcW w:w="2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6"/>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CATHERINE FRIEDMAN</w:t>
            </w:r>
          </w:p>
        </w:tc>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February 28, 2023</w:t>
            </w:r>
          </w:p>
        </w:tc>
        <w:tc>
          <w:tcPr>
            <w:tcW w:w="0" w:type="dxa"/>
            <w:vAlign w:val="bottom"/>
          </w:tcPr>
          <w:p>
            <w:pPr>
              <w:spacing w:after="0"/>
              <w:rPr>
                <w:sz w:val="1"/>
                <w:szCs w:val="1"/>
                <w:color w:val="auto"/>
              </w:rPr>
            </w:pPr>
          </w:p>
        </w:tc>
      </w:tr>
      <w:tr>
        <w:trPr>
          <w:trHeight w:val="25"/>
        </w:trPr>
        <w:tc>
          <w:tcPr>
            <w:tcW w:w="1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Catherine Friedman</w:t>
            </w:r>
          </w:p>
        </w:tc>
        <w:tc>
          <w:tcPr>
            <w:tcW w:w="2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6"/>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ELIZABETH NABEL</w:t>
            </w:r>
          </w:p>
        </w:tc>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February 28, 2023</w:t>
            </w:r>
          </w:p>
        </w:tc>
        <w:tc>
          <w:tcPr>
            <w:tcW w:w="0" w:type="dxa"/>
            <w:vAlign w:val="bottom"/>
          </w:tcPr>
          <w:p>
            <w:pPr>
              <w:spacing w:after="0"/>
              <w:rPr>
                <w:sz w:val="1"/>
                <w:szCs w:val="1"/>
                <w:color w:val="auto"/>
              </w:rPr>
            </w:pPr>
          </w:p>
        </w:tc>
      </w:tr>
      <w:tr>
        <w:trPr>
          <w:trHeight w:val="25"/>
        </w:trPr>
        <w:tc>
          <w:tcPr>
            <w:tcW w:w="1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Elizabeth Nabel, M.D.</w:t>
            </w:r>
          </w:p>
        </w:tc>
        <w:tc>
          <w:tcPr>
            <w:tcW w:w="2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6"/>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/s/ ROBERT NELSEN</w:t>
            </w:r>
          </w:p>
        </w:tc>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February 28, 2023</w:t>
            </w:r>
          </w:p>
        </w:tc>
        <w:tc>
          <w:tcPr>
            <w:tcW w:w="0" w:type="dxa"/>
            <w:vAlign w:val="bottom"/>
          </w:tcPr>
          <w:p>
            <w:pPr>
              <w:spacing w:after="0"/>
              <w:rPr>
                <w:sz w:val="1"/>
                <w:szCs w:val="1"/>
                <w:color w:val="auto"/>
              </w:rPr>
            </w:pPr>
          </w:p>
        </w:tc>
      </w:tr>
      <w:tr>
        <w:trPr>
          <w:trHeight w:val="25"/>
        </w:trPr>
        <w:tc>
          <w:tcPr>
            <w:tcW w:w="1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Robert Nelsen</w:t>
            </w:r>
          </w:p>
        </w:tc>
        <w:tc>
          <w:tcPr>
            <w:tcW w:w="2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6"/>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WILLIAM RIEFLIN</w:t>
            </w:r>
          </w:p>
        </w:tc>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February 28, 2023</w:t>
            </w:r>
          </w:p>
        </w:tc>
        <w:tc>
          <w:tcPr>
            <w:tcW w:w="0" w:type="dxa"/>
            <w:vAlign w:val="bottom"/>
          </w:tcPr>
          <w:p>
            <w:pPr>
              <w:spacing w:after="0"/>
              <w:rPr>
                <w:sz w:val="1"/>
                <w:szCs w:val="1"/>
                <w:color w:val="auto"/>
              </w:rPr>
            </w:pPr>
          </w:p>
        </w:tc>
      </w:tr>
      <w:tr>
        <w:trPr>
          <w:trHeight w:val="26"/>
        </w:trPr>
        <w:tc>
          <w:tcPr>
            <w:tcW w:w="1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William Rieflin</w:t>
            </w:r>
          </w:p>
        </w:tc>
        <w:tc>
          <w:tcPr>
            <w:tcW w:w="2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3"/>
        </w:trPr>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56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9"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9"/>
          <w:szCs w:val="19"/>
          <w:b w:val="1"/>
          <w:bCs w:val="1"/>
          <w:color w:val="auto"/>
        </w:rPr>
        <w:t>Exhibit 4.3</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DESCRIPTION OF THE REGISTRANT’S SECURITIES</w:t>
      </w:r>
    </w:p>
    <w:p>
      <w:pPr>
        <w:jc w:val="center"/>
        <w:spacing w:after="0"/>
        <w:rPr>
          <w:sz w:val="20"/>
          <w:szCs w:val="20"/>
          <w:color w:val="auto"/>
        </w:rPr>
      </w:pPr>
      <w:r>
        <w:rPr>
          <w:rFonts w:ascii="Times New Roman" w:cs="Times New Roman" w:eastAsia="Times New Roman" w:hAnsi="Times New Roman"/>
          <w:sz w:val="19"/>
          <w:szCs w:val="19"/>
          <w:b w:val="1"/>
          <w:bCs w:val="1"/>
          <w:color w:val="auto"/>
        </w:rPr>
        <w:t>REGISTERED PURSUANT TO SECTION 12 OF THE SECURITIES EXCHANGE ACT OF 1934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description is a description of the common stock, $0.0001 par value per share (“Common Stock”) of Lyell Immunopharma, Inc.</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(the “Company,” “we,” “our”, or “us”) which is the only security of the Company registered pursuant to Section 12 of the Securities Exchange Act of 1934, as amended. The following summary description is based on the provisions of our Amended and Restated Certificate of</w:t>
      </w:r>
    </w:p>
    <w:p>
      <w:pPr>
        <w:spacing w:after="0" w:line="218" w:lineRule="auto"/>
        <w:rPr>
          <w:sz w:val="20"/>
          <w:szCs w:val="20"/>
          <w:color w:val="auto"/>
        </w:rPr>
      </w:pPr>
      <w:r>
        <w:rPr>
          <w:rFonts w:ascii="Times New Roman" w:cs="Times New Roman" w:eastAsia="Times New Roman" w:hAnsi="Times New Roman"/>
          <w:sz w:val="19"/>
          <w:szCs w:val="19"/>
          <w:color w:val="auto"/>
        </w:rPr>
        <w:t>Incorporation (the “Restated Certificate”), our Amended and Restated Bylaws, (the “Bylaws”), and the applicable provisions of the Delaware</w:t>
      </w:r>
    </w:p>
    <w:p>
      <w:pPr>
        <w:spacing w:after="0" w:line="211" w:lineRule="auto"/>
        <w:rPr>
          <w:sz w:val="20"/>
          <w:szCs w:val="20"/>
          <w:color w:val="auto"/>
        </w:rPr>
      </w:pPr>
      <w:r>
        <w:rPr>
          <w:rFonts w:ascii="Times New Roman" w:cs="Times New Roman" w:eastAsia="Times New Roman" w:hAnsi="Times New Roman"/>
          <w:sz w:val="19"/>
          <w:szCs w:val="19"/>
          <w:color w:val="auto"/>
        </w:rPr>
        <w:t>General Corporation Law (the “DGCL”). This information may not be complete in all respects and is qualified entirely by reference to the provisions of our Restated Certificate and our Bylaws. Our Restated Certificate and our Bylaws are filed as exhibits to our Annual Report on</w:t>
      </w:r>
    </w:p>
    <w:p>
      <w:pPr>
        <w:spacing w:after="0"/>
        <w:rPr>
          <w:sz w:val="20"/>
          <w:szCs w:val="20"/>
          <w:color w:val="auto"/>
        </w:rPr>
      </w:pPr>
      <w:r>
        <w:rPr>
          <w:rFonts w:ascii="Times New Roman" w:cs="Times New Roman" w:eastAsia="Times New Roman" w:hAnsi="Times New Roman"/>
          <w:sz w:val="19"/>
          <w:szCs w:val="19"/>
          <w:color w:val="auto"/>
        </w:rPr>
        <w:t>Form 10-K of which this exhibit is a part.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Authorized Capital Shares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Our authorized capital stock consists of 500,000,000 shares of common stock, par value $0.0001 per share and 10,000,000 shares of preferred stock, par value $0.0001 per share, all of which are undesignated.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Voting Rights</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The common stock is entitled to one vote per share on any matter that is submitted to a vote of our stockholders. Our Restated Certificate</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does not provide for cumulative voting for the election of directors. Our Restated Certificate establishes a classified board of directors that is divided into three classes with staggered three-year terms. Only the directors in one class will be subject to election by a plurality of the votes</w:t>
      </w:r>
    </w:p>
    <w:p>
      <w:pPr>
        <w:spacing w:after="0" w:line="211" w:lineRule="auto"/>
        <w:rPr>
          <w:sz w:val="20"/>
          <w:szCs w:val="20"/>
          <w:color w:val="auto"/>
        </w:rPr>
      </w:pPr>
      <w:r>
        <w:rPr>
          <w:rFonts w:ascii="Times New Roman" w:cs="Times New Roman" w:eastAsia="Times New Roman" w:hAnsi="Times New Roman"/>
          <w:sz w:val="19"/>
          <w:szCs w:val="19"/>
          <w:color w:val="auto"/>
        </w:rPr>
        <w:t>cast at each annual meeting of our stockholders, with the directors in the other classes continuing for the remainder of their respective three-year terms. The affirmative vote of holders of at least 66 2/3% of the voting power of all of the then-outstanding shares of capital stock, voting as a</w:t>
      </w:r>
    </w:p>
    <w:p>
      <w:pPr>
        <w:spacing w:after="0" w:line="218" w:lineRule="auto"/>
        <w:rPr>
          <w:sz w:val="20"/>
          <w:szCs w:val="20"/>
          <w:color w:val="auto"/>
        </w:rPr>
      </w:pPr>
      <w:r>
        <w:rPr>
          <w:rFonts w:ascii="Times New Roman" w:cs="Times New Roman" w:eastAsia="Times New Roman" w:hAnsi="Times New Roman"/>
          <w:sz w:val="19"/>
          <w:szCs w:val="19"/>
          <w:color w:val="auto"/>
        </w:rPr>
        <w:t>single class, will be required to amend certain provisions of our Restated Certificate, including provisions relating to amending our Bylaws, the</w:t>
      </w:r>
    </w:p>
    <w:p>
      <w:pPr>
        <w:spacing w:after="0" w:line="228" w:lineRule="auto"/>
        <w:rPr>
          <w:sz w:val="20"/>
          <w:szCs w:val="20"/>
          <w:color w:val="auto"/>
        </w:rPr>
      </w:pPr>
      <w:r>
        <w:rPr>
          <w:rFonts w:ascii="Times New Roman" w:cs="Times New Roman" w:eastAsia="Times New Roman" w:hAnsi="Times New Roman"/>
          <w:sz w:val="19"/>
          <w:szCs w:val="19"/>
          <w:color w:val="auto"/>
        </w:rPr>
        <w:t>classified structure of our board of directors, the size of our board of directors, removal of directors, director liability, vacancies on our board of directors, special meetings, stockholder notices, actions by written consent and exclusive jurisdiction.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Economic Rights</w:t>
      </w:r>
    </w:p>
    <w:p>
      <w:pPr>
        <w:spacing w:after="0" w:line="9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9"/>
          <w:szCs w:val="19"/>
          <w:color w:val="auto"/>
        </w:rPr>
        <w:t>Except as otherwise expressly provided in our Restated Certificate or required by applicable law, all shares of common stock have the same rights and privileges and rank equally, share ratably and be identical in all respects for all matters, including those described below.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Dividends</w:t>
      </w:r>
      <w:r>
        <w:rPr>
          <w:rFonts w:ascii="Times New Roman" w:cs="Times New Roman" w:eastAsia="Times New Roman" w:hAnsi="Times New Roman"/>
          <w:sz w:val="19"/>
          <w:szCs w:val="19"/>
          <w:color w:val="auto"/>
        </w:rPr>
        <w:t>. Subject to preferences that may apply to any shares of preferred stock outstanding at the time, the holders of our common stock are</w:t>
      </w:r>
    </w:p>
    <w:p>
      <w:pPr>
        <w:spacing w:after="0" w:line="4"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entitled to receive dividends out of funds legally available if our board of directors, in its discretion, determines to issue dividends and then only at the times and in the amounts that our board of directors may determine.</w:t>
      </w:r>
    </w:p>
    <w:p>
      <w:pPr>
        <w:spacing w:after="0" w:line="144"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9"/>
          <w:szCs w:val="19"/>
          <w:i w:val="1"/>
          <w:iCs w:val="1"/>
          <w:color w:val="auto"/>
        </w:rPr>
        <w:t>Liquidation Rights</w:t>
      </w:r>
      <w:r>
        <w:rPr>
          <w:rFonts w:ascii="Times New Roman" w:cs="Times New Roman" w:eastAsia="Times New Roman" w:hAnsi="Times New Roman"/>
          <w:sz w:val="19"/>
          <w:szCs w:val="19"/>
          <w:color w:val="auto"/>
        </w:rPr>
        <w:t>. On our liquidation, dissolution, or winding-up, the holders of common stock will be entitled to share equally, identically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ratably in all assets remaining after the payment of any liabilities, liquidation preferences and accrued or declared but unpaid dividends, if any,</w:t>
      </w:r>
    </w:p>
    <w:p>
      <w:pPr>
        <w:spacing w:after="0" w:line="236" w:lineRule="auto"/>
        <w:rPr>
          <w:sz w:val="20"/>
          <w:szCs w:val="20"/>
          <w:color w:val="auto"/>
        </w:rPr>
      </w:pPr>
      <w:r>
        <w:rPr>
          <w:rFonts w:ascii="Times New Roman" w:cs="Times New Roman" w:eastAsia="Times New Roman" w:hAnsi="Times New Roman"/>
          <w:sz w:val="19"/>
          <w:szCs w:val="19"/>
          <w:color w:val="auto"/>
        </w:rPr>
        <w:t>with respect to any outstanding preferred stock, unless a different treatment is approved by the affirmative vote of the holders of a majority of the outstanding shares of such affected class, voting separately as a class.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 Preemptive or Similar Rights</w:t>
      </w:r>
    </w:p>
    <w:p>
      <w:pPr>
        <w:spacing w:after="0" w:line="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The holders of our shares of common stock are not entitled to preemptive rights, and are not subject to conversion, redemption or sinking fund provisions.</w:t>
      </w:r>
    </w:p>
    <w:p>
      <w:pPr>
        <w:sectPr>
          <w:pgSz w:w="11900" w:h="16838" w:orient="portrait"/>
          <w:cols w:equalWidth="0" w:num="1">
            <w:col w:w="11240"/>
          </w:cols>
          <w:pgMar w:left="320" w:top="1371" w:right="339" w:bottom="1440" w:gutter="0" w:footer="0" w:header="0"/>
        </w:sectPr>
      </w:pPr>
    </w:p>
    <w:bookmarkStart w:id="126" w:name="page127"/>
    <w:bookmarkEnd w:id="126"/>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90"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9"/>
          <w:szCs w:val="19"/>
          <w:color w:val="auto"/>
        </w:rPr>
        <w:t>Our board of directors may, without further action by our stockholders, fix the rights, preferences, privileges and restrictions of up to 10,000,000 shares of preferred stock in one or more series and authorize their issuance. These rights, preferences and privileges could include dividend</w:t>
      </w:r>
    </w:p>
    <w:p>
      <w:pPr>
        <w:spacing w:after="0" w:line="218" w:lineRule="auto"/>
        <w:rPr>
          <w:sz w:val="20"/>
          <w:szCs w:val="20"/>
          <w:color w:val="auto"/>
        </w:rPr>
      </w:pPr>
      <w:r>
        <w:rPr>
          <w:rFonts w:ascii="Times New Roman" w:cs="Times New Roman" w:eastAsia="Times New Roman" w:hAnsi="Times New Roman"/>
          <w:sz w:val="19"/>
          <w:szCs w:val="19"/>
          <w:color w:val="auto"/>
        </w:rPr>
        <w:t>rights, conversion rights, voting rights, terms of redemption, liquidation preferences and the number of shares constituting any series or the</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designation of such series, any or all of which may be greater than the rights of common stock. Any issuance of preferred stock could adversely affect the voting power of holders of common stock and the likelihood that such holders would receive dividend payments and payments on</w:t>
      </w:r>
    </w:p>
    <w:p>
      <w:pPr>
        <w:spacing w:after="0" w:line="236" w:lineRule="auto"/>
        <w:rPr>
          <w:sz w:val="20"/>
          <w:szCs w:val="20"/>
          <w:color w:val="auto"/>
        </w:rPr>
      </w:pPr>
      <w:r>
        <w:rPr>
          <w:rFonts w:ascii="Times New Roman" w:cs="Times New Roman" w:eastAsia="Times New Roman" w:hAnsi="Times New Roman"/>
          <w:sz w:val="19"/>
          <w:szCs w:val="19"/>
          <w:color w:val="auto"/>
        </w:rPr>
        <w:t>liquidation. In addition, the issuance of preferred stock could have the effect of delaying, deterring or preventing a change of control or other corporate action.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Anti-Takeover Provisions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provisions of Delaware law, our Restated Certificate and our Bylaws, which are summarized below, may have the effect of delaying,</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w:t>
      </w:r>
    </w:p>
    <w:p>
      <w:pPr>
        <w:spacing w:after="0" w:line="236" w:lineRule="auto"/>
        <w:rPr>
          <w:sz w:val="20"/>
          <w:szCs w:val="20"/>
          <w:color w:val="auto"/>
        </w:rPr>
      </w:pPr>
      <w:r>
        <w:rPr>
          <w:rFonts w:ascii="Times New Roman" w:cs="Times New Roman" w:eastAsia="Times New Roman" w:hAnsi="Times New Roman"/>
          <w:sz w:val="19"/>
          <w:szCs w:val="19"/>
          <w:color w:val="auto"/>
        </w:rPr>
        <w:t>to negotiate with an unfriendly or unsolicited acquirer outweigh the disadvantages of discouraging a proposal to acquire us because negotiation of these proposals could result in an improvement of their terms.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Restated Certificate and Bylaws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Because our stockholders do not have cumulative voting rights, stockholders holding a majority of the voting power of our shares of common</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stock are able to elect all of our directors. Our Restated Certificate also provides that all stockholder actions are required to be taken by a vote of the stockholders at an annual or special meeting, and that stockholders may not take any action by written consent in lieu of a meeting.</w:t>
      </w:r>
    </w:p>
    <w:p>
      <w:pPr>
        <w:spacing w:after="0" w:line="211" w:lineRule="auto"/>
        <w:rPr>
          <w:sz w:val="20"/>
          <w:szCs w:val="20"/>
          <w:color w:val="auto"/>
        </w:rPr>
      </w:pPr>
      <w:r>
        <w:rPr>
          <w:rFonts w:ascii="Times New Roman" w:cs="Times New Roman" w:eastAsia="Times New Roman" w:hAnsi="Times New Roman"/>
          <w:sz w:val="19"/>
          <w:szCs w:val="19"/>
          <w:color w:val="auto"/>
        </w:rPr>
        <w:t>According to our Bylaws, a special meeting of stockholders may only be called by a majority of our board of directors, the chair of our board of directors, or our chief executive officer or president. Our Bylaws establish an advance notice procedure for stockholder proposals to be brought</w:t>
      </w:r>
    </w:p>
    <w:p>
      <w:pPr>
        <w:spacing w:after="0"/>
        <w:rPr>
          <w:sz w:val="20"/>
          <w:szCs w:val="20"/>
          <w:color w:val="auto"/>
        </w:rPr>
      </w:pPr>
      <w:r>
        <w:rPr>
          <w:rFonts w:ascii="Times New Roman" w:cs="Times New Roman" w:eastAsia="Times New Roman" w:hAnsi="Times New Roman"/>
          <w:sz w:val="19"/>
          <w:szCs w:val="19"/>
          <w:color w:val="auto"/>
        </w:rPr>
        <w:t>before an annual meeting of our stockholders, including proposed nominations of persons for election to our board of directors.</w:t>
      </w:r>
    </w:p>
    <w:p>
      <w:pPr>
        <w:spacing w:after="0" w:line="170"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9"/>
          <w:szCs w:val="19"/>
          <w:color w:val="auto"/>
        </w:rPr>
        <w:t>Our Restated Certificate provides for the division of our board of directors into three classes serving staggered three-year terms, with one class being elected each year. Our Restated Certificate also provides that directors may be removed only for cause by the affirmative vote of the</w:t>
      </w:r>
    </w:p>
    <w:p>
      <w:pPr>
        <w:spacing w:after="0" w:line="218" w:lineRule="auto"/>
        <w:rPr>
          <w:sz w:val="20"/>
          <w:szCs w:val="20"/>
          <w:color w:val="auto"/>
        </w:rPr>
      </w:pPr>
      <w:r>
        <w:rPr>
          <w:rFonts w:ascii="Times New Roman" w:cs="Times New Roman" w:eastAsia="Times New Roman" w:hAnsi="Times New Roman"/>
          <w:sz w:val="19"/>
          <w:szCs w:val="19"/>
          <w:color w:val="auto"/>
        </w:rPr>
        <w:t>holders of at least 66 2/3% of the shares then entitled to vote at an annual election of directors. Furthermore, any vacancy on our board of</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directors, however occurring, including a vacancy resulting from an increase in the size of our board, may be filled by the affirmative vote of a majority of our directors then in office even if less than a quorum.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foregoing provisions make it more difficult for another party to obtain control of us by replacing our board of directors. Since our board of</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w:t>
      </w:r>
    </w:p>
    <w:p>
      <w:pPr>
        <w:spacing w:after="0"/>
        <w:rPr>
          <w:sz w:val="20"/>
          <w:szCs w:val="20"/>
          <w:color w:val="auto"/>
        </w:rPr>
      </w:pPr>
      <w:r>
        <w:rPr>
          <w:rFonts w:ascii="Times New Roman" w:cs="Times New Roman" w:eastAsia="Times New Roman" w:hAnsi="Times New Roman"/>
          <w:sz w:val="19"/>
          <w:szCs w:val="19"/>
          <w:color w:val="auto"/>
        </w:rPr>
        <w:t>directors to issue preferred stock with voting or other rights or preferences that could impede the success of any attempt to change our control.</w:t>
      </w:r>
    </w:p>
    <w:p>
      <w:pPr>
        <w:spacing w:after="0" w:line="170"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9"/>
          <w:szCs w:val="19"/>
          <w:color w:val="auto"/>
        </w:rPr>
        <w:t>These provisions are designed to reduce our vulnerability to an unsolicited acquisition proposal and to discourage certain tactics that may be used in proxy fights. However, such provisions could have the effect of discouraging others from making tender offers for our shares and may</w:t>
      </w:r>
    </w:p>
    <w:p>
      <w:pPr>
        <w:spacing w:after="0" w:line="236" w:lineRule="auto"/>
        <w:rPr>
          <w:sz w:val="20"/>
          <w:szCs w:val="20"/>
          <w:color w:val="auto"/>
        </w:rPr>
      </w:pPr>
      <w:r>
        <w:rPr>
          <w:rFonts w:ascii="Times New Roman" w:cs="Times New Roman" w:eastAsia="Times New Roman" w:hAnsi="Times New Roman"/>
          <w:sz w:val="19"/>
          <w:szCs w:val="19"/>
          <w:color w:val="auto"/>
        </w:rPr>
        <w:t>have the effect of deterring hostile takeovers or delaying changes in our control or management. As a consequence, these provisions may also inhibit fluctuations in the market price of our stock that could result from actual or rumored takeover attempts.</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Section 203 of the Delaware General Corporation Law</w:t>
      </w:r>
    </w:p>
    <w:p>
      <w:pPr>
        <w:spacing w:after="0" w:line="302"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9"/>
          <w:szCs w:val="19"/>
          <w:color w:val="auto"/>
        </w:rPr>
        <w:t>We are subject to the provisions of Section 203 of the Delaware General Corporation Law, or Section 203. In general, Section 203 prohibits a publicly-held Delaware corporation from engaging in any business combination with any interested stockholder for a period of three years after</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9"/>
          <w:szCs w:val="19"/>
          <w:color w:val="auto"/>
        </w:rPr>
        <w:t>the date that such stockholder became an interested stockholder, subject to certain exceptions. A “business combination” includes, among other things, a merger, asset or stock sale or other transaction resulting in a financial benefit to the interested stockholder. An “interested stockholder”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is a person who, together with affiliates and associates, owns, or did own within three years prior to the determination of interested stockholder status, 15% or more of the corporation’s voting stock.</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Choice of Forum</w:t>
      </w:r>
    </w:p>
    <w:p>
      <w:pPr>
        <w:spacing w:after="0" w:line="302"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9"/>
          <w:szCs w:val="19"/>
          <w:color w:val="auto"/>
        </w:rPr>
        <w:t>Our Restated Certificate provides that, unless we consent in writing to the selection of an alternative forum, the Court of Chancery of the State of Delaware (or, if and only if the Court of Chancery of the State of Delaware lacks subject matter jurisdiction, any state court located within the</w:t>
      </w:r>
    </w:p>
    <w:p>
      <w:pPr>
        <w:spacing w:after="0" w:line="218" w:lineRule="auto"/>
        <w:rPr>
          <w:sz w:val="20"/>
          <w:szCs w:val="20"/>
          <w:color w:val="auto"/>
        </w:rPr>
      </w:pPr>
      <w:r>
        <w:rPr>
          <w:rFonts w:ascii="Times New Roman" w:cs="Times New Roman" w:eastAsia="Times New Roman" w:hAnsi="Times New Roman"/>
          <w:sz w:val="19"/>
          <w:szCs w:val="19"/>
          <w:color w:val="auto"/>
        </w:rPr>
        <w:t>State of Delaware or, if and only if all such state courts lack subject matter jurisdiction, the federal district court for the District of Delaware)</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and any appellate court therefrom is the sole and exclusive forum for the following claims or causes of action under the Delaware statutory or common law: (i) any derivative claim or cause of action brought on our behalf; (ii) any claim or cause of action for a breach of fiduciary duty</w:t>
      </w:r>
    </w:p>
    <w:p>
      <w:pPr>
        <w:spacing w:after="0" w:line="218" w:lineRule="auto"/>
        <w:rPr>
          <w:sz w:val="20"/>
          <w:szCs w:val="20"/>
          <w:color w:val="auto"/>
        </w:rPr>
      </w:pPr>
      <w:r>
        <w:rPr>
          <w:rFonts w:ascii="Times New Roman" w:cs="Times New Roman" w:eastAsia="Times New Roman" w:hAnsi="Times New Roman"/>
          <w:sz w:val="19"/>
          <w:szCs w:val="19"/>
          <w:color w:val="auto"/>
        </w:rPr>
        <w:t>owed by any of our current or former directors, officers or other employees to us or our stockholders; (iii) any claim or cause of action against</w:t>
      </w:r>
    </w:p>
    <w:p>
      <w:pPr>
        <w:spacing w:after="0" w:line="211" w:lineRule="auto"/>
        <w:rPr>
          <w:sz w:val="20"/>
          <w:szCs w:val="20"/>
          <w:color w:val="auto"/>
        </w:rPr>
      </w:pPr>
      <w:r>
        <w:rPr>
          <w:rFonts w:ascii="Times New Roman" w:cs="Times New Roman" w:eastAsia="Times New Roman" w:hAnsi="Times New Roman"/>
          <w:sz w:val="19"/>
          <w:szCs w:val="19"/>
          <w:color w:val="auto"/>
        </w:rPr>
        <w:t>us or any of our current or former directors, officers or other employees arising out of or pursuant to any provision of the DGCL, our Restated Certificate or our Bylaws (as each may be amended from time to time); (iv) any claim or cause of action seeking to interpret, apply, enforce or</w:t>
      </w:r>
    </w:p>
    <w:p>
      <w:pPr>
        <w:spacing w:after="0" w:line="218" w:lineRule="auto"/>
        <w:rPr>
          <w:sz w:val="20"/>
          <w:szCs w:val="20"/>
          <w:color w:val="auto"/>
        </w:rPr>
      </w:pPr>
      <w:r>
        <w:rPr>
          <w:rFonts w:ascii="Times New Roman" w:cs="Times New Roman" w:eastAsia="Times New Roman" w:hAnsi="Times New Roman"/>
          <w:sz w:val="19"/>
          <w:szCs w:val="19"/>
          <w:color w:val="auto"/>
        </w:rPr>
        <w:t>determine the validity of our Restated Certificate or our Bylaws (as each may be amended from time to time, including any right, obligation, or</w:t>
      </w:r>
    </w:p>
    <w:p>
      <w:pPr>
        <w:spacing w:after="0" w:line="211" w:lineRule="auto"/>
        <w:rPr>
          <w:sz w:val="20"/>
          <w:szCs w:val="20"/>
          <w:color w:val="auto"/>
        </w:rPr>
      </w:pPr>
      <w:r>
        <w:rPr>
          <w:rFonts w:ascii="Times New Roman" w:cs="Times New Roman" w:eastAsia="Times New Roman" w:hAnsi="Times New Roman"/>
          <w:sz w:val="19"/>
          <w:szCs w:val="19"/>
          <w:color w:val="auto"/>
        </w:rPr>
        <w:t>remedy thereunder); (v) any claim or cause of action as to which the DGCL confers jurisdiction to the Court of Chancery of the State of Delaware; and (vi) any claim or cause of action against us or any of our current or former directors, officers or other employees governed by the</w:t>
      </w:r>
    </w:p>
    <w:p>
      <w:pPr>
        <w:spacing w:after="0" w:line="211" w:lineRule="auto"/>
        <w:rPr>
          <w:sz w:val="20"/>
          <w:szCs w:val="20"/>
          <w:color w:val="auto"/>
        </w:rPr>
      </w:pPr>
      <w:r>
        <w:rPr>
          <w:rFonts w:ascii="Times New Roman" w:cs="Times New Roman" w:eastAsia="Times New Roman" w:hAnsi="Times New Roman"/>
          <w:sz w:val="19"/>
          <w:szCs w:val="19"/>
          <w:color w:val="auto"/>
        </w:rPr>
        <w:t>internal-affairs doctrine, in all cases to the fullest extent permitted by law and subject to the court’s having personal jurisdiction over the indispensable parties named as defendants. Our Restated Certificate further provides that, unless we consent in writing to the selection of an</w:t>
      </w:r>
    </w:p>
    <w:p>
      <w:pPr>
        <w:spacing w:after="0" w:line="218" w:lineRule="auto"/>
        <w:rPr>
          <w:sz w:val="20"/>
          <w:szCs w:val="20"/>
          <w:color w:val="auto"/>
        </w:rPr>
      </w:pPr>
      <w:r>
        <w:rPr>
          <w:rFonts w:ascii="Times New Roman" w:cs="Times New Roman" w:eastAsia="Times New Roman" w:hAnsi="Times New Roman"/>
          <w:sz w:val="19"/>
          <w:szCs w:val="19"/>
          <w:color w:val="auto"/>
        </w:rPr>
        <w:t>alternative forum, to the fullest extent permitted by law, the federal district courts of the United States will be the exclusive forum for resolving</w:t>
      </w:r>
    </w:p>
    <w:p>
      <w:pPr>
        <w:spacing w:after="0" w:line="211" w:lineRule="auto"/>
        <w:rPr>
          <w:sz w:val="20"/>
          <w:szCs w:val="20"/>
          <w:color w:val="auto"/>
        </w:rPr>
      </w:pPr>
      <w:r>
        <w:rPr>
          <w:rFonts w:ascii="Times New Roman" w:cs="Times New Roman" w:eastAsia="Times New Roman" w:hAnsi="Times New Roman"/>
          <w:sz w:val="19"/>
          <w:szCs w:val="19"/>
          <w:color w:val="auto"/>
        </w:rPr>
        <w:t>any complaint asserting a cause or causes of action arising under the Securities Act, including all causes of action asserted against an defendant to such complaint. The choice of forum provisions would not apply to claims or causes of action brought to enforce a duty or liability created by</w:t>
      </w:r>
    </w:p>
    <w:p>
      <w:pPr>
        <w:spacing w:after="0"/>
        <w:rPr>
          <w:sz w:val="20"/>
          <w:szCs w:val="20"/>
          <w:color w:val="auto"/>
        </w:rPr>
      </w:pPr>
      <w:r>
        <w:rPr>
          <w:rFonts w:ascii="Times New Roman" w:cs="Times New Roman" w:eastAsia="Times New Roman" w:hAnsi="Times New Roman"/>
          <w:sz w:val="19"/>
          <w:szCs w:val="19"/>
          <w:color w:val="auto"/>
        </w:rPr>
        <w:t>the Exchange Act or any other claim for which the federal courts have exclusive jurisdiction.</w:t>
      </w:r>
    </w:p>
    <w:p>
      <w:pPr>
        <w:spacing w:after="0" w:line="276"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9"/>
          <w:szCs w:val="19"/>
          <w:color w:val="auto"/>
        </w:rPr>
        <w:t>For the avoidance of doubt, these provisions are intended to benefit and may be enforced by us, our officers and directors, the underwriters to any offering giving rise to such complaint and any other professional entity whose profession gives authority to a statement made by that person</w:t>
      </w:r>
    </w:p>
    <w:p>
      <w:pPr>
        <w:spacing w:after="0" w:line="218" w:lineRule="auto"/>
        <w:rPr>
          <w:sz w:val="20"/>
          <w:szCs w:val="20"/>
          <w:color w:val="auto"/>
        </w:rPr>
      </w:pPr>
      <w:r>
        <w:rPr>
          <w:rFonts w:ascii="Times New Roman" w:cs="Times New Roman" w:eastAsia="Times New Roman" w:hAnsi="Times New Roman"/>
          <w:sz w:val="19"/>
          <w:szCs w:val="19"/>
          <w:color w:val="auto"/>
        </w:rPr>
        <w:t>or entity and who has prepared or certified any part of the documents underlying the offering. While the Delaware courts have determined that</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w:t>
      </w:r>
    </w:p>
    <w:p>
      <w:pPr>
        <w:spacing w:after="0"/>
        <w:rPr>
          <w:sz w:val="20"/>
          <w:szCs w:val="20"/>
          <w:color w:val="auto"/>
        </w:rPr>
      </w:pPr>
      <w:r>
        <w:rPr>
          <w:rFonts w:ascii="Times New Roman" w:cs="Times New Roman" w:eastAsia="Times New Roman" w:hAnsi="Times New Roman"/>
          <w:sz w:val="19"/>
          <w:szCs w:val="19"/>
          <w:color w:val="auto"/>
        </w:rPr>
        <w:t>note that investors cannot waive compliance with the federal securities laws and the rules and regulations thereunder.</w:t>
      </w:r>
    </w:p>
    <w:p>
      <w:pPr>
        <w:spacing w:after="0" w:line="276"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9"/>
          <w:szCs w:val="19"/>
          <w:color w:val="auto"/>
        </w:rPr>
        <w:t>Additionally, our Restated Certificate provides that any person or entity holding, owning or otherwise acquiring any interest in any of our securities shall be deemed to have notice of and consented to these provisions. These choice of forum provision may limit a stockholder’s</w:t>
      </w:r>
    </w:p>
    <w:p>
      <w:pPr>
        <w:spacing w:after="0" w:line="218" w:lineRule="auto"/>
        <w:rPr>
          <w:sz w:val="20"/>
          <w:szCs w:val="20"/>
          <w:color w:val="auto"/>
        </w:rPr>
      </w:pPr>
      <w:r>
        <w:rPr>
          <w:rFonts w:ascii="Times New Roman" w:cs="Times New Roman" w:eastAsia="Times New Roman" w:hAnsi="Times New Roman"/>
          <w:sz w:val="19"/>
          <w:szCs w:val="19"/>
          <w:color w:val="auto"/>
        </w:rPr>
        <w:t>ability to bring a claim in a judicial forum that it finds favorable for disputes with us or any of our directors, officers, other employees or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stockholders, which may discourage lawsuits with respect to such claims, although our stockholders will not be deemed to have waived our compliance with federal securities laws and the rules and regulations thereunder.</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Limitations on Liability and Indemnification</w:t>
      </w:r>
    </w:p>
    <w:p>
      <w:pPr>
        <w:spacing w:after="0" w:line="196"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9"/>
          <w:szCs w:val="19"/>
          <w:color w:val="auto"/>
        </w:rPr>
        <w:t>Our Restated Certificate contains provisions that limit the liability of our directors for monetary damages to the fullest extent permitted by Delaware law. Consequently, our directors will not be personally liable to us or our stockholders for monetary damages for any breach of</w:t>
      </w:r>
    </w:p>
    <w:p>
      <w:pPr>
        <w:spacing w:after="0"/>
        <w:rPr>
          <w:sz w:val="20"/>
          <w:szCs w:val="20"/>
          <w:color w:val="auto"/>
        </w:rPr>
      </w:pPr>
      <w:r>
        <w:rPr>
          <w:rFonts w:ascii="Times New Roman" w:cs="Times New Roman" w:eastAsia="Times New Roman" w:hAnsi="Times New Roman"/>
          <w:sz w:val="19"/>
          <w:szCs w:val="19"/>
          <w:color w:val="auto"/>
        </w:rPr>
        <w:t>fiduciary duties as directors, except liability for:</w:t>
      </w:r>
    </w:p>
    <w:p>
      <w:pPr>
        <w:spacing w:after="0" w:line="158" w:lineRule="exact"/>
        <w:rPr>
          <w:sz w:val="20"/>
          <w:szCs w:val="20"/>
          <w:color w:val="auto"/>
        </w:rPr>
      </w:pPr>
    </w:p>
    <w:p>
      <w:pPr>
        <w:ind w:left="940" w:hanging="298"/>
        <w:spacing w:after="0"/>
        <w:tabs>
          <w:tab w:leader="none" w:pos="940" w:val="left"/>
        </w:tabs>
        <w:numPr>
          <w:ilvl w:val="0"/>
          <w:numId w:val="52"/>
        </w:numPr>
        <w:rPr>
          <w:rFonts w:ascii="Arial" w:cs="Arial" w:eastAsia="Arial" w:hAnsi="Arial"/>
          <w:sz w:val="19"/>
          <w:szCs w:val="19"/>
          <w:color w:val="auto"/>
        </w:rPr>
      </w:pPr>
      <w:r>
        <w:rPr>
          <w:rFonts w:ascii="Times New Roman" w:cs="Times New Roman" w:eastAsia="Times New Roman" w:hAnsi="Times New Roman"/>
          <w:sz w:val="19"/>
          <w:szCs w:val="19"/>
          <w:color w:val="auto"/>
        </w:rPr>
        <w:t>any breach of the director’s duty of loyalty to us or our stockholders;</w:t>
      </w:r>
    </w:p>
    <w:p>
      <w:pPr>
        <w:ind w:left="940" w:hanging="298"/>
        <w:spacing w:after="0" w:line="217" w:lineRule="auto"/>
        <w:tabs>
          <w:tab w:leader="none" w:pos="940" w:val="left"/>
        </w:tabs>
        <w:numPr>
          <w:ilvl w:val="0"/>
          <w:numId w:val="52"/>
        </w:numPr>
        <w:rPr>
          <w:rFonts w:ascii="Arial" w:cs="Arial" w:eastAsia="Arial" w:hAnsi="Arial"/>
          <w:sz w:val="19"/>
          <w:szCs w:val="19"/>
          <w:color w:val="auto"/>
        </w:rPr>
      </w:pPr>
      <w:r>
        <w:rPr>
          <w:rFonts w:ascii="Times New Roman" w:cs="Times New Roman" w:eastAsia="Times New Roman" w:hAnsi="Times New Roman"/>
          <w:sz w:val="19"/>
          <w:szCs w:val="19"/>
          <w:color w:val="auto"/>
        </w:rPr>
        <w:t>any act or omission not in good faith or that involves intentional misconduct or a knowing violation of law;</w:t>
      </w:r>
    </w:p>
    <w:p>
      <w:pPr>
        <w:ind w:left="940" w:hanging="298"/>
        <w:spacing w:after="0" w:line="217" w:lineRule="auto"/>
        <w:tabs>
          <w:tab w:leader="none" w:pos="940" w:val="left"/>
        </w:tabs>
        <w:numPr>
          <w:ilvl w:val="0"/>
          <w:numId w:val="52"/>
        </w:numPr>
        <w:rPr>
          <w:rFonts w:ascii="Arial" w:cs="Arial" w:eastAsia="Arial" w:hAnsi="Arial"/>
          <w:sz w:val="19"/>
          <w:szCs w:val="19"/>
          <w:color w:val="auto"/>
        </w:rPr>
      </w:pPr>
      <w:r>
        <w:rPr>
          <w:rFonts w:ascii="Times New Roman" w:cs="Times New Roman" w:eastAsia="Times New Roman" w:hAnsi="Times New Roman"/>
          <w:sz w:val="19"/>
          <w:szCs w:val="19"/>
          <w:color w:val="auto"/>
        </w:rPr>
        <w:t>unlawful payments of dividends or unlawful stock repurchases or redemptions as provided in Section 174 of the DGCL; or</w:t>
      </w:r>
    </w:p>
    <w:p>
      <w:pPr>
        <w:ind w:left="940" w:hanging="298"/>
        <w:spacing w:after="0"/>
        <w:tabs>
          <w:tab w:leader="none" w:pos="940" w:val="left"/>
        </w:tabs>
        <w:numPr>
          <w:ilvl w:val="0"/>
          <w:numId w:val="52"/>
        </w:numPr>
        <w:rPr>
          <w:rFonts w:ascii="Arial" w:cs="Arial" w:eastAsia="Arial" w:hAnsi="Arial"/>
          <w:sz w:val="19"/>
          <w:szCs w:val="19"/>
          <w:color w:val="auto"/>
        </w:rPr>
      </w:pPr>
      <w:r>
        <w:rPr>
          <w:rFonts w:ascii="Times New Roman" w:cs="Times New Roman" w:eastAsia="Times New Roman" w:hAnsi="Times New Roman"/>
          <w:sz w:val="19"/>
          <w:szCs w:val="19"/>
          <w:color w:val="auto"/>
        </w:rPr>
        <w:t>any transaction from which the director derived an improper personal benefit.</w:t>
      </w:r>
    </w:p>
    <w:p>
      <w:pPr>
        <w:spacing w:after="0" w:line="1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Such limitation of liability does not apply to liabilities arising under federal securities laws and does not affect the availability of equitable remedies such as injunctive relief or rescission.</w:t>
      </w:r>
    </w:p>
    <w:p>
      <w:pPr>
        <w:spacing w:after="0" w:line="143"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9"/>
          <w:szCs w:val="19"/>
          <w:color w:val="auto"/>
        </w:rPr>
        <w:t>Our Restated Certificate authorizes us to indemnify our directors, officers, employees and other agents to the fullest extent permitted by Delaware law. Each of our Restated Certificate and Bylaws provide that we are required to indemnify our directors and officers, in each case to</w:t>
      </w:r>
    </w:p>
    <w:p>
      <w:pPr>
        <w:spacing w:after="0" w:line="218" w:lineRule="auto"/>
        <w:rPr>
          <w:sz w:val="20"/>
          <w:szCs w:val="20"/>
          <w:color w:val="auto"/>
        </w:rPr>
      </w:pPr>
      <w:r>
        <w:rPr>
          <w:rFonts w:ascii="Times New Roman" w:cs="Times New Roman" w:eastAsia="Times New Roman" w:hAnsi="Times New Roman"/>
          <w:sz w:val="19"/>
          <w:szCs w:val="19"/>
          <w:color w:val="auto"/>
        </w:rPr>
        <w:t>the fullest extent permitted by Delaware law and may indemnify our other employees and agents. Our Bylaws also obligate us to advance</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w:t>
      </w:r>
    </w:p>
    <w:p>
      <w:pPr>
        <w:spacing w:after="0" w:line="218" w:lineRule="auto"/>
        <w:rPr>
          <w:sz w:val="20"/>
          <w:szCs w:val="20"/>
          <w:color w:val="auto"/>
        </w:rPr>
      </w:pPr>
      <w:r>
        <w:rPr>
          <w:rFonts w:ascii="Times New Roman" w:cs="Times New Roman" w:eastAsia="Times New Roman" w:hAnsi="Times New Roman"/>
          <w:sz w:val="19"/>
          <w:szCs w:val="19"/>
          <w:color w:val="auto"/>
        </w:rPr>
        <w:t>would otherwise be permitted to indemnify him or her under Delaware law. We have entered and expect to continue to enter into agreements to</w:t>
      </w:r>
    </w:p>
    <w:p>
      <w:pPr>
        <w:spacing w:after="0" w:line="211" w:lineRule="auto"/>
        <w:rPr>
          <w:sz w:val="20"/>
          <w:szCs w:val="20"/>
          <w:color w:val="auto"/>
        </w:rPr>
      </w:pPr>
      <w:r>
        <w:rPr>
          <w:rFonts w:ascii="Times New Roman" w:cs="Times New Roman" w:eastAsia="Times New Roman" w:hAnsi="Times New Roman"/>
          <w:sz w:val="19"/>
          <w:szCs w:val="19"/>
          <w:color w:val="auto"/>
        </w:rPr>
        <w:t>indemnify our directors, executive officers and other employees as determined by our board of directors. With specified exceptions, these agreements provide for indemnification for related expenses including, among other things, attorneys’ fees, judgments, fines and settlement</w:t>
      </w:r>
    </w:p>
    <w:p>
      <w:pPr>
        <w:spacing w:after="0" w:line="211" w:lineRule="auto"/>
        <w:rPr>
          <w:sz w:val="20"/>
          <w:szCs w:val="20"/>
          <w:color w:val="auto"/>
        </w:rPr>
      </w:pPr>
      <w:r>
        <w:rPr>
          <w:rFonts w:ascii="Times New Roman" w:cs="Times New Roman" w:eastAsia="Times New Roman" w:hAnsi="Times New Roman"/>
          <w:sz w:val="19"/>
          <w:szCs w:val="19"/>
          <w:color w:val="auto"/>
        </w:rPr>
        <w:t>amounts incurred by any of these individuals in any action or proceeding. We believe that these bylaw provisions and indemnification agreements are necessary to attract and retain qualified persons as directors and officers. We also maintain directors’ and officers’ liability</w:t>
      </w:r>
    </w:p>
    <w:p>
      <w:pPr>
        <w:spacing w:after="0"/>
        <w:rPr>
          <w:sz w:val="20"/>
          <w:szCs w:val="20"/>
          <w:color w:val="auto"/>
        </w:rPr>
      </w:pPr>
      <w:r>
        <w:rPr>
          <w:rFonts w:ascii="Times New Roman" w:cs="Times New Roman" w:eastAsia="Times New Roman" w:hAnsi="Times New Roman"/>
          <w:sz w:val="19"/>
          <w:szCs w:val="19"/>
          <w:color w:val="auto"/>
        </w:rPr>
        <w:t>insurance.</w:t>
      </w:r>
    </w:p>
    <w:p>
      <w:pPr>
        <w:spacing w:after="0" w:line="170"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9"/>
          <w:szCs w:val="19"/>
          <w:color w:val="auto"/>
        </w:rPr>
        <w:t>The limitation of liability and indemnification provisions in our Restated Certificate and Bylaws may discourage stockholders from bringing a lawsuit against our directors and officers for breach of their fiduciary duty. They may also reduce the likelihood of derivative litigation against</w:t>
      </w:r>
    </w:p>
    <w:p>
      <w:pPr>
        <w:spacing w:after="0" w:line="236" w:lineRule="auto"/>
        <w:rPr>
          <w:sz w:val="20"/>
          <w:szCs w:val="20"/>
          <w:color w:val="auto"/>
        </w:rPr>
      </w:pPr>
      <w:r>
        <w:rPr>
          <w:rFonts w:ascii="Times New Roman" w:cs="Times New Roman" w:eastAsia="Times New Roman" w:hAnsi="Times New Roman"/>
          <w:sz w:val="19"/>
          <w:szCs w:val="19"/>
          <w:color w:val="auto"/>
        </w:rPr>
        <w:t>our directors and officers, even though an action, if successful, might benefit us and our stockholders. Further, a stockholder’s investment may be adversely affected to the extent that we pay the costs of settlement and damages.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Exchange Listing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common stock listed on The Nasdaq Global Select Market under the symbol “LYEL.”</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Transfer Agent and Registrar</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The transfer agent and registrar for our common stock is American Stock Transfer &amp; Trust Company, LLC. The transfer agent’s address is 6201 15th Avenue | Brooklyn, NY 11219.</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3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w:t>
      </w:r>
      <w:r>
        <w:rPr>
          <w:rFonts w:ascii="Calibri" w:cs="Calibri" w:eastAsia="Calibri" w:hAnsi="Calibri"/>
          <w:sz w:val="19"/>
          <w:szCs w:val="19"/>
          <w:color w:val="auto"/>
        </w:rPr>
        <w:t>E</w:t>
      </w:r>
      <w:r>
        <w:rPr>
          <w:rFonts w:ascii="Times New Roman" w:cs="Times New Roman" w:eastAsia="Times New Roman" w:hAnsi="Times New Roman"/>
          <w:sz w:val="18"/>
          <w:szCs w:val="18"/>
          <w:b w:val="1"/>
          <w:bCs w:val="1"/>
          <w:color w:val="auto"/>
        </w:rPr>
        <w:t>GISTERED PUBLIC ACCOUNTING FIRM</w:t>
      </w:r>
    </w:p>
    <w:p>
      <w:pPr>
        <w:spacing w:after="0" w:line="200" w:lineRule="exact"/>
        <w:rPr>
          <w:sz w:val="20"/>
          <w:szCs w:val="20"/>
          <w:color w:val="auto"/>
        </w:rPr>
      </w:pPr>
    </w:p>
    <w:p>
      <w:pPr>
        <w:spacing w:after="0" w:line="3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Nos. 333-257249 and 333-263952) pertaining to the Lyell Immunopharma, Inc. 2018 Equity Incentive Plan, the Lyell Immunopharma, Inc. 2021 Equity Incentive Plan and the Lyell Immunopharma, Inc. 2021 Employee Stock Purchase Plan of our reports dated February 28, 2023, with respect to the consolidated financial statements of Lyell Immunopharma, Inc., and the effectiveness of internal control over financial reporting of Lyell Immunopharma, Inc., included in this Annual Report (Form 10-K) for the year ended December 31, 2022.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99" w:lineRule="auto"/>
        <w:rPr>
          <w:sz w:val="20"/>
          <w:szCs w:val="20"/>
          <w:color w:val="auto"/>
        </w:rPr>
      </w:pPr>
      <w:r>
        <w:rPr>
          <w:rFonts w:ascii="Times New Roman" w:cs="Times New Roman" w:eastAsia="Times New Roman" w:hAnsi="Times New Roman"/>
          <w:sz w:val="18"/>
          <w:szCs w:val="18"/>
          <w:color w:val="auto"/>
        </w:rPr>
        <w:t>San Mateo, California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ectPr>
          <w:pgSz w:w="11900" w:h="16838" w:orient="portrait"/>
          <w:cols w:equalWidth="0" w:num="1">
            <w:col w:w="11240"/>
          </w:cols>
          <w:pgMar w:left="320" w:top="1440"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3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Lynn Seely, certify that:</w:t>
      </w:r>
    </w:p>
    <w:p>
      <w:pPr>
        <w:spacing w:after="0" w:line="111" w:lineRule="exact"/>
        <w:rPr>
          <w:sz w:val="20"/>
          <w:szCs w:val="20"/>
          <w:color w:val="auto"/>
        </w:rPr>
      </w:pPr>
    </w:p>
    <w:p>
      <w:pPr>
        <w:ind w:left="640" w:hanging="316"/>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Lyell Immunopharma, Inc.;</w:t>
      </w:r>
    </w:p>
    <w:p>
      <w:pPr>
        <w:spacing w:after="0" w:line="111"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ind w:left="960" w:right="260" w:hanging="318"/>
        <w:spacing w:after="0" w:line="259" w:lineRule="auto"/>
        <w:tabs>
          <w:tab w:leader="none" w:pos="95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960" w:right="580" w:hanging="318"/>
        <w:spacing w:after="0" w:line="259" w:lineRule="auto"/>
        <w:tabs>
          <w:tab w:leader="none" w:pos="95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960" w:right="740" w:hanging="318"/>
        <w:spacing w:after="0" w:line="304" w:lineRule="auto"/>
        <w:tabs>
          <w:tab w:leader="none" w:pos="957"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Times New Roman" w:cs="Times New Roman" w:eastAsia="Times New Roman" w:hAnsi="Times New Roman"/>
          <w:sz w:val="17"/>
          <w:szCs w:val="17"/>
          <w:color w:val="auto"/>
        </w:rPr>
      </w:pPr>
    </w:p>
    <w:p>
      <w:pPr>
        <w:ind w:left="960" w:right="300" w:hanging="318"/>
        <w:spacing w:after="0" w:line="259" w:lineRule="auto"/>
        <w:tabs>
          <w:tab w:leader="none" w:pos="95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640" w:right="40" w:hanging="316"/>
        <w:spacing w:after="0" w:line="274" w:lineRule="auto"/>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960" w:right="160" w:hanging="318"/>
        <w:spacing w:after="0" w:line="274" w:lineRule="auto"/>
        <w:tabs>
          <w:tab w:leader="none" w:pos="95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960" w:right="140" w:hanging="318"/>
        <w:spacing w:after="0" w:line="274" w:lineRule="auto"/>
        <w:tabs>
          <w:tab w:leader="none" w:pos="95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1760"/>
        <w:spacing w:after="0"/>
        <w:tabs>
          <w:tab w:leader="none" w:pos="4200" w:val="left"/>
          <w:tab w:leader="none" w:pos="6760" w:val="left"/>
        </w:tabs>
        <w:rPr>
          <w:sz w:val="20"/>
          <w:szCs w:val="20"/>
          <w:color w:val="auto"/>
        </w:rPr>
      </w:pPr>
      <w:r>
        <w:rPr>
          <w:rFonts w:ascii="Times New Roman" w:cs="Times New Roman" w:eastAsia="Times New Roman" w:hAnsi="Times New Roman"/>
          <w:sz w:val="18"/>
          <w:szCs w:val="18"/>
          <w:color w:val="auto"/>
        </w:rPr>
        <w:t>Date: February 28,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LYNN SEELY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3007360</wp:posOffset>
            </wp:positionH>
            <wp:positionV relativeFrom="paragraph">
              <wp:posOffset>14605</wp:posOffset>
            </wp:positionV>
            <wp:extent cx="33909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extLst>
                        <a:ext uri="{28A0092B-C50C-407E-A947-70E740481C1C}"/>
                      </a:extLst>
                    </a:blip>
                    <a:srcRect/>
                    <a:stretch>
                      <a:fillRect/>
                    </a:stretch>
                  </pic:blipFill>
                  <pic:spPr bwMode="auto">
                    <a:xfrm>
                      <a:off x="0" y="0"/>
                      <a:ext cx="3390900" cy="8255"/>
                    </a:xfrm>
                    <a:prstGeom prst="rect">
                      <a:avLst/>
                    </a:prstGeom>
                    <a:noFill/>
                  </pic:spPr>
                </pic:pic>
              </a:graphicData>
            </a:graphic>
          </wp:anchor>
        </w:drawing>
      </w:r>
    </w:p>
    <w:p>
      <w:pPr>
        <w:spacing w:after="0" w:line="1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Lynn Seely, M.D.</w:t>
      </w:r>
    </w:p>
    <w:p>
      <w:pPr>
        <w:spacing w:after="0" w:line="8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4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927"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4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Newton, certify that:</w:t>
      </w:r>
    </w:p>
    <w:p>
      <w:pPr>
        <w:spacing w:after="0" w:line="111" w:lineRule="exact"/>
        <w:rPr>
          <w:sz w:val="20"/>
          <w:szCs w:val="20"/>
          <w:color w:val="auto"/>
        </w:rPr>
      </w:pPr>
    </w:p>
    <w:p>
      <w:pPr>
        <w:ind w:left="640" w:hanging="316"/>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Lyell Immunopharma, Inc.;</w:t>
      </w:r>
    </w:p>
    <w:p>
      <w:pPr>
        <w:spacing w:after="0" w:line="111"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ind w:left="960" w:right="260" w:hanging="318"/>
        <w:spacing w:after="0" w:line="259" w:lineRule="auto"/>
        <w:tabs>
          <w:tab w:leader="none" w:pos="95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960" w:right="580" w:hanging="318"/>
        <w:spacing w:after="0" w:line="259" w:lineRule="auto"/>
        <w:tabs>
          <w:tab w:leader="none" w:pos="95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960" w:right="740" w:hanging="318"/>
        <w:spacing w:after="0" w:line="304" w:lineRule="auto"/>
        <w:tabs>
          <w:tab w:leader="none" w:pos="957"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Times New Roman" w:cs="Times New Roman" w:eastAsia="Times New Roman" w:hAnsi="Times New Roman"/>
          <w:sz w:val="17"/>
          <w:szCs w:val="17"/>
          <w:color w:val="auto"/>
        </w:rPr>
      </w:pPr>
    </w:p>
    <w:p>
      <w:pPr>
        <w:ind w:left="960" w:right="300" w:hanging="318"/>
        <w:spacing w:after="0" w:line="259" w:lineRule="auto"/>
        <w:tabs>
          <w:tab w:leader="none" w:pos="95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640" w:right="40" w:hanging="316"/>
        <w:spacing w:after="0" w:line="274"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960" w:right="160" w:hanging="318"/>
        <w:spacing w:after="0" w:line="274" w:lineRule="auto"/>
        <w:tabs>
          <w:tab w:leader="none" w:pos="95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960" w:right="140" w:hanging="318"/>
        <w:spacing w:after="0" w:line="274" w:lineRule="auto"/>
        <w:tabs>
          <w:tab w:leader="none" w:pos="95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1140"/>
        <w:spacing w:after="0"/>
        <w:tabs>
          <w:tab w:leader="none" w:pos="2660" w:val="left"/>
          <w:tab w:leader="none" w:pos="4760" w:val="left"/>
          <w:tab w:leader="none" w:pos="7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CHARLES NEWTON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3385820</wp:posOffset>
            </wp:positionH>
            <wp:positionV relativeFrom="paragraph">
              <wp:posOffset>40005</wp:posOffset>
            </wp:positionV>
            <wp:extent cx="338201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5">
                      <a:extLst>
                        <a:ext uri="{28A0092B-C50C-407E-A947-70E740481C1C}"/>
                      </a:extLst>
                    </a:blip>
                    <a:srcRect/>
                    <a:stretch>
                      <a:fillRect/>
                    </a:stretch>
                  </pic:blipFill>
                  <pic:spPr bwMode="auto">
                    <a:xfrm>
                      <a:off x="0" y="0"/>
                      <a:ext cx="3382010" cy="8255"/>
                    </a:xfrm>
                    <a:prstGeom prst="rect">
                      <a:avLst/>
                    </a:prstGeom>
                    <a:noFill/>
                  </pic:spPr>
                </pic:pic>
              </a:graphicData>
            </a:graphic>
          </wp:anchor>
        </w:drawing>
      </w:r>
    </w:p>
    <w:p>
      <w:pPr>
        <w:spacing w:after="0" w:line="6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b w:val="1"/>
          <w:bCs w:val="1"/>
          <w:color w:val="auto"/>
        </w:rPr>
        <w:t>Charles Newton</w:t>
      </w:r>
    </w:p>
    <w:p>
      <w:pPr>
        <w:spacing w:after="0" w:line="138"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240"/>
          </w:cols>
          <w:pgMar w:left="320" w:top="1086"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4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520"/>
        <w:spacing w:after="0" w:line="298"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each of the undersigned hereby certifies in her or his capacity as an officer of Lyell Immunopharma, Inc, Inc. (the “Company”), that, to the best of her or his knowledge:</w:t>
      </w:r>
    </w:p>
    <w:p>
      <w:pPr>
        <w:spacing w:after="0" w:line="200" w:lineRule="exact"/>
        <w:rPr>
          <w:sz w:val="20"/>
          <w:szCs w:val="20"/>
          <w:color w:val="auto"/>
        </w:rPr>
      </w:pPr>
    </w:p>
    <w:p>
      <w:pPr>
        <w:spacing w:after="0" w:line="261" w:lineRule="exact"/>
        <w:rPr>
          <w:sz w:val="20"/>
          <w:szCs w:val="20"/>
          <w:color w:val="auto"/>
        </w:rPr>
      </w:pPr>
    </w:p>
    <w:p>
      <w:pPr>
        <w:ind w:left="640" w:right="60" w:hanging="316"/>
        <w:spacing w:after="0" w:line="381" w:lineRule="auto"/>
        <w:tabs>
          <w:tab w:leader="none" w:pos="63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fiscal year ended December 31, 2022, to which this Certification is attached as Exhibit 32.1 (the “Report”) fully complies with the requirements of Section 13(a) or Section 15(d) of the Exchange Act; and</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/s/ LYNN SEELY</w:t>
            </w:r>
          </w:p>
        </w:tc>
      </w:tr>
      <w:tr>
        <w:trPr>
          <w:trHeight w:val="227"/>
        </w:trPr>
        <w:tc>
          <w:tcPr>
            <w:tcW w:w="540" w:type="dxa"/>
            <w:vAlign w:val="bottom"/>
          </w:tcPr>
          <w:p>
            <w:pPr>
              <w:spacing w:after="0"/>
              <w:rPr>
                <w:sz w:val="19"/>
                <w:szCs w:val="19"/>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Lynn Seely, M.D.</w:t>
            </w:r>
          </w:p>
        </w:tc>
      </w:tr>
      <w:tr>
        <w:trPr>
          <w:trHeight w:val="298"/>
        </w:trPr>
        <w:tc>
          <w:tcPr>
            <w:tcW w:w="54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President and Chief Executive Officer</w:t>
            </w:r>
          </w:p>
        </w:tc>
      </w:tr>
      <w:tr>
        <w:trPr>
          <w:trHeight w:val="238"/>
        </w:trPr>
        <w:tc>
          <w:tcPr>
            <w:tcW w:w="54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(Principal Executive Officer)</w:t>
            </w:r>
          </w:p>
        </w:tc>
      </w:tr>
    </w:tbl>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CHARLES NEWTON</w:t>
            </w:r>
          </w:p>
        </w:tc>
      </w:tr>
      <w:tr>
        <w:trPr>
          <w:trHeight w:val="227"/>
        </w:trPr>
        <w:tc>
          <w:tcPr>
            <w:tcW w:w="540" w:type="dxa"/>
            <w:vAlign w:val="bottom"/>
          </w:tcPr>
          <w:p>
            <w:pPr>
              <w:spacing w:after="0"/>
              <w:rPr>
                <w:sz w:val="19"/>
                <w:szCs w:val="19"/>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Charles Newton</w:t>
            </w:r>
          </w:p>
        </w:tc>
      </w:tr>
      <w:tr>
        <w:trPr>
          <w:trHeight w:val="284"/>
        </w:trPr>
        <w:tc>
          <w:tcPr>
            <w:tcW w:w="54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Chief Financial Officer</w:t>
            </w:r>
          </w:p>
        </w:tc>
      </w:tr>
      <w:tr>
        <w:trPr>
          <w:trHeight w:val="252"/>
        </w:trPr>
        <w:tc>
          <w:tcPr>
            <w:tcW w:w="540" w:type="dxa"/>
            <w:vAlign w:val="bottom"/>
          </w:tcPr>
          <w:p>
            <w:pPr>
              <w:spacing w:after="0"/>
              <w:rPr>
                <w:sz w:val="21"/>
                <w:szCs w:val="21"/>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(Principal Financial and Accounting Officer)</w:t>
            </w:r>
          </w:p>
        </w:tc>
      </w:tr>
    </w:tbl>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28, 2023</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x"/>
      <w:numFmt w:val="bullet"/>
      <w:start w:val="1"/>
    </w:lvl>
  </w:abstractNum>
  <w:abstractNum w:abstractNumId="1">
    <w:nsid w:val="836C40E"/>
    <w:multiLevelType w:val="hybridMultilevel"/>
    <w:lvl w:ilvl="0">
      <w:lvlJc w:val="left"/>
      <w:lvlText w:val="o"/>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1"/>
      <w:numFmt w:val="upperLetter"/>
      <w:start w:val="27"/>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1)"/>
      <w:numFmt w:val="lowerRoman"/>
      <w:start w:val="3"/>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1)"/>
      <w:numFmt w:val="lowerRoman"/>
      <w:start w:val="2"/>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1."/>
      <w:numFmt w:val="decimal"/>
      <w:start w:val="2"/>
    </w:lvl>
  </w:abstractNum>
  <w:abstractNum w:abstractNumId="46">
    <w:nsid w:val="1BA026FA"/>
    <w:multiLevelType w:val="hybridMultilevel"/>
    <w:lvl w:ilvl="0">
      <w:lvlJc w:val="left"/>
      <w:lvlText w:val="(%1)"/>
      <w:numFmt w:val="lowerRoman"/>
      <w:start w:val="2"/>
    </w:lvl>
  </w:abstractNum>
  <w:abstractNum w:abstractNumId="47">
    <w:nsid w:val="79A1DEAA"/>
    <w:multiLevelType w:val="hybridMultilevel"/>
    <w:lvl w:ilvl="0">
      <w:lvlJc w:val="left"/>
      <w:lvlText w:val="(%1)"/>
      <w:numFmt w:val="decimal"/>
      <w:start w:val="1"/>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1)"/>
      <w:numFmt w:val="lowerLetter"/>
      <w:start w:val="1"/>
    </w:lvl>
    <w:lvl w:ilvl="1">
      <w:lvlJc w:val="left"/>
      <w:lvlText w:val="(%2)"/>
      <w:numFmt w:val="decimal"/>
      <w:start w:val="1"/>
    </w:lvl>
  </w:abstractNum>
  <w:abstractNum w:abstractNumId="50">
    <w:nsid w:val="70C6A529"/>
    <w:multiLevelType w:val="hybridMultilevel"/>
    <w:lvl w:ilvl="0">
      <w:lvlJc w:val="left"/>
      <w:lvlText w:val="(%1)"/>
      <w:numFmt w:val="decimal"/>
      <w:start w:val="2"/>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99" Type="http://schemas.openxmlformats.org/officeDocument/2006/relationships/image" Target="media/image165.png"/><Relationship Id="rId200" Type="http://schemas.openxmlformats.org/officeDocument/2006/relationships/image" Target="media/image166.png"/><Relationship Id="rId201" Type="http://schemas.openxmlformats.org/officeDocument/2006/relationships/image" Target="media/image167.png"/><Relationship Id="rId202" Type="http://schemas.openxmlformats.org/officeDocument/2006/relationships/image" Target="media/image168.png"/><Relationship Id="rId203" Type="http://schemas.openxmlformats.org/officeDocument/2006/relationships/image" Target="media/image169.png"/><Relationship Id="rId204" Type="http://schemas.openxmlformats.org/officeDocument/2006/relationships/image" Target="media/image170.png"/><Relationship Id="rId205" Type="http://schemas.openxmlformats.org/officeDocument/2006/relationships/image" Target="media/image171.png"/><Relationship Id="rId170" Type="http://schemas.openxmlformats.org/officeDocument/2006/relationships/hyperlink" Target="https://www.sec.gov/Archives/edgar/data/1806952/000119312521195237/d136326dex41.htm" TargetMode="External"/><Relationship Id="rId171" Type="http://schemas.openxmlformats.org/officeDocument/2006/relationships/hyperlink" Target="https://www.sec.gov/Archives/edgar/data/1806952/000119312521195237/d136326dex42.htm" TargetMode="External"/><Relationship Id="rId172" Type="http://schemas.openxmlformats.org/officeDocument/2006/relationships/hyperlink" Target="https://www.sec.gov/Archives/edgar/data/1806952/000119312521185918/d168165dex41.htm" TargetMode="External"/><Relationship Id="rId173" Type="http://schemas.openxmlformats.org/officeDocument/2006/relationships/hyperlink" Target="https://www.sec.gov/Archives/edgar/data/1806952/000119312521172500/d168165dex42.htm" TargetMode="External"/><Relationship Id="rId174" Type="http://schemas.openxmlformats.org/officeDocument/2006/relationships/hyperlink" Target="https://www.sec.gov/Archives/edgar/data/1806952/000119312521172500/d168165dex101.htm" TargetMode="External"/><Relationship Id="rId175" Type="http://schemas.openxmlformats.org/officeDocument/2006/relationships/hyperlink" Target="https://www.sec.gov/Archives/edgar/data/1806952/000119312521172500/d168165dex102.htm" TargetMode="External"/><Relationship Id="rId176" Type="http://schemas.openxmlformats.org/officeDocument/2006/relationships/hyperlink" Target="https://www.sec.gov/Archives/edgar/data/1806952/000119312521185918/d168165dex103.htm" TargetMode="External"/><Relationship Id="rId177" Type="http://schemas.openxmlformats.org/officeDocument/2006/relationships/hyperlink" Target="https://www.sec.gov/Archives/edgar/data/1806952/000119312521185918/d168165dex104.htm" TargetMode="External"/><Relationship Id="rId178" Type="http://schemas.openxmlformats.org/officeDocument/2006/relationships/hyperlink" Target="https://www.sec.gov/Archives/edgar/data/1806952/000119312521185918/d168165dex105.htm" TargetMode="External"/><Relationship Id="rId179" Type="http://schemas.openxmlformats.org/officeDocument/2006/relationships/hyperlink" Target="https://www.sec.gov/Archives/edgar/data/1806952/000119312521185918/d168165dex106.htm" TargetMode="External"/><Relationship Id="rId180" Type="http://schemas.openxmlformats.org/officeDocument/2006/relationships/hyperlink" Target="https://www.sec.gov/Archives/edgar/data/1806952/000119312521185918/d168165dex107.htm" TargetMode="External"/><Relationship Id="rId183" Type="http://schemas.openxmlformats.org/officeDocument/2006/relationships/hyperlink" Target="https://www.sec.gov/Archives/edgar/data/1806952/000162828022007708/ex-108_lyellimmunopharmain.htm" TargetMode="External"/><Relationship Id="rId184" Type="http://schemas.openxmlformats.org/officeDocument/2006/relationships/hyperlink" Target="https://www.sec.gov/Archives/edgar/data/1806952/000119312521172500/d168165dex109.htm" TargetMode="External"/><Relationship Id="rId185" Type="http://schemas.openxmlformats.org/officeDocument/2006/relationships/hyperlink" Target="https://www.sec.gov/Archives/edgar/data/1806952/000119312521172500/d168165dex1010.htm" TargetMode="External"/><Relationship Id="rId186" Type="http://schemas.openxmlformats.org/officeDocument/2006/relationships/hyperlink" Target="https://www.sec.gov/Archives/edgar/data/1806952/000119312522307296/d438667dex102.htm" TargetMode="External"/><Relationship Id="rId187" Type="http://schemas.openxmlformats.org/officeDocument/2006/relationships/hyperlink" Target="https://www.sec.gov/Archives/edgar/data/1806952/000119312521172500/d168165dex1012.htm" TargetMode="External"/><Relationship Id="rId188" Type="http://schemas.openxmlformats.org/officeDocument/2006/relationships/hyperlink" Target="https://www.sec.gov/Archives/edgar/data/1806952/000162828022028929/lyel-20220930x10qxexx102.htm" TargetMode="External"/><Relationship Id="rId189" Type="http://schemas.openxmlformats.org/officeDocument/2006/relationships/hyperlink" Target="https://www.sec.gov/Archives/edgar/data/1806952/000119312521172500/d168165dex1014.htm" TargetMode="External"/><Relationship Id="rId190" Type="http://schemas.openxmlformats.org/officeDocument/2006/relationships/hyperlink" Target="https://www.sec.gov/Archives/edgar/data/1806952/000162828022013611/lyel-20220331x10qxexx101.htm" TargetMode="External"/><Relationship Id="rId191" Type="http://schemas.openxmlformats.org/officeDocument/2006/relationships/hyperlink" Target="https://www.sec.gov/Archives/edgar/data/1806952/000119312522307296/d438667dex101.htm" TargetMode="External"/><Relationship Id="rId192" Type="http://schemas.openxmlformats.org/officeDocument/2006/relationships/hyperlink" Target="https://www.sec.gov/Archives/edgar/data/1806952/000119312521172500/d168165dex1016.htm" TargetMode="External"/><Relationship Id="rId193" Type="http://schemas.openxmlformats.org/officeDocument/2006/relationships/hyperlink" Target="https://www.sec.gov/Archives/edgar/data/1806952/000119312521172500/d168165dex1017.htm" TargetMode="External"/><Relationship Id="rId194" Type="http://schemas.openxmlformats.org/officeDocument/2006/relationships/hyperlink" Target="https://www.sec.gov/Archives/edgar/data/1806952/000119312521172500/d168165dex1018.htm" TargetMode="External"/><Relationship Id="rId195" Type="http://schemas.openxmlformats.org/officeDocument/2006/relationships/hyperlink" Target="https://www.sec.gov/Archives/edgar/data/1806952/000119312521172500/d168165dex1019.htm" TargetMode="External"/><Relationship Id="rId196" Type="http://schemas.openxmlformats.org/officeDocument/2006/relationships/hyperlink" Target="https://www.sec.gov/Archives/edgar/data/1806952/000119312521172500/d168165dex1020.htm" TargetMode="External"/><Relationship Id="rId197" Type="http://schemas.openxmlformats.org/officeDocument/2006/relationships/hyperlink" Target="https://www.sec.gov/Archives/edgar/data/1806952/000119312521172500/d168165dex1021.htm" TargetMode="External"/><Relationship Id="rId198" Type="http://schemas.openxmlformats.org/officeDocument/2006/relationships/hyperlink" Target="https://www.sec.gov/Archives/edgar/data/1806952/000119312521172500/d168165dex1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2023-02-28T20:39:08Z</dcterms:created>
  <dcterms:modified xsi:type="dcterms:W3CDTF">2023-02-28T20:39:08Z</dcterms:modified>
</cp:coreProperties>
</file>