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102026_110902.xml.htm"/>
      <w:bookmarkStart w:id="1" w:name="ksform309102026_11090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Aguirre Jarrad Mattieu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LYELL IMMUNOPHARMA,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HASKINS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08/31/2026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Lyell Immunopharma, Inc.</w:t>
              </w:r>
            </w:hyperlink>
            <w:r>
              <w:rPr/>
              <w:t xml:space="preserve"> [ </w:t>
            </w:r>
            <w:r>
              <w:rPr>
                <w:rFonts w:ascii="Times;serif" w:hAnsi="Times;serif"/>
                <w:color w:val="0000FF"/>
                <w:sz w:val="24"/>
                <w:shd w:fill="FFFFFF" w:val="clear"/>
              </w:rPr>
              <w:t>LYEL</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20,279</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02/12/2035</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46,249</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11.64</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02/09/2036</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23.71</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05/10/2036</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14,451 restricted stock units ("RSUs") under the Issuer's 2021 Equity Incentive Plan that are subject to time-based vesting and will be settled in common stock subject to vesting as follows: the RSUs vest quarterly over the thirty month period following July 9, 2026; in each case, subject to the reporting person providing service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25% of the option shares vested on January 31, 2026, with the remaining option shares to vest in equal monthly installments over the following thirty-six months, subject to the reporting person providing service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12.5% of the option shares will vest on August 9, 2026, with the remaining option shares to vest in equal monthly installments over the following forty-two months, subject to the reporting person providing service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12.5% of the option shares will vest on November 11, 2026, with the remaining option shares to vest in equal monthly installments over the following forty-two months, subject to the reporting person providing service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Meltz,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sz w:val="22"/>
        </w:rPr>
      </w:pPr>
      <w:bookmarkStart w:id="2" w:name="ex24-09102026_110902.htm"/>
      <w:bookmarkStart w:id="3" w:name="ksex2409102026_110902"/>
      <w:bookmarkEnd w:id="2"/>
      <w:bookmarkEnd w:id="3"/>
      <w:r>
        <w:rPr>
          <w:b/>
          <w:sz w:val="22"/>
        </w:rPr>
        <w:t>POWER OF ATTORNEY</w:t>
      </w:r>
      <w:r>
        <w:br w:type="page"/>
      </w:r>
    </w:p>
    <w:p>
      <w:pPr>
        <w:pStyle w:val="TextBody"/>
        <w:bidi w:val="0"/>
        <w:spacing w:before="0" w:after="0"/>
        <w:ind w:left="0" w:right="0" w:hanging="0"/>
        <w:jc w:val="both"/>
        <w:rPr/>
      </w:pPr>
      <w:r>
        <w:rPr/>
      </w:r>
    </w:p>
    <w:p>
      <w:pPr>
        <w:pStyle w:val="TextBody"/>
        <w:bidi w:val="0"/>
        <w:spacing w:before="0" w:after="0"/>
        <w:ind w:left="0" w:right="0" w:hanging="0"/>
        <w:jc w:val="center"/>
        <w:rPr>
          <w:sz w:val="22"/>
        </w:rPr>
      </w:pPr>
      <w:r>
        <w:rPr>
          <w:sz w:val="22"/>
        </w:rPr>
        <w:t>(For Executing Forms 3, 4 and 5)</w:t>
      </w:r>
    </w:p>
    <w:p>
      <w:pPr>
        <w:pStyle w:val="TextBody"/>
        <w:bidi w:val="0"/>
        <w:spacing w:before="0" w:after="0"/>
        <w:ind w:left="0" w:right="0" w:hanging="0"/>
        <w:jc w:val="left"/>
        <w:rPr/>
      </w:pPr>
      <w:r>
        <w:rPr/>
      </w:r>
    </w:p>
    <w:p>
      <w:pPr>
        <w:pStyle w:val="TextBody"/>
        <w:bidi w:val="0"/>
        <w:spacing w:before="0" w:after="0"/>
        <w:ind w:left="0" w:right="0" w:firstLine="720"/>
        <w:jc w:val="both"/>
        <w:rPr>
          <w:sz w:val="22"/>
        </w:rPr>
      </w:pPr>
      <w:r>
        <w:rPr>
          <w:sz w:val="22"/>
        </w:rPr>
        <w:t>Know all by these presents, that the undersigned hereby constitutes and appoints each of Lynn Seely, Smital Shah and Mark Meltz of Lyell Immunopharma, Inc. (the “</w:t>
      </w:r>
      <w:r>
        <w:rPr>
          <w:b/>
          <w:i/>
          <w:sz w:val="22"/>
        </w:rPr>
        <w:t>Company</w:t>
      </w:r>
      <w:r>
        <w:rPr>
          <w:sz w:val="22"/>
        </w:rPr>
        <w:t>”), or any of them signing singly, with full power of substitution, the undersigned’s true and lawful attorneys-in-fact and agents to:</w:t>
      </w:r>
    </w:p>
    <w:p>
      <w:pPr>
        <w:pStyle w:val="TextBody"/>
        <w:pBdr/>
        <w:bidi w:val="0"/>
        <w:spacing w:before="0" w:after="0"/>
        <w:ind w:left="0" w:right="0" w:hanging="30"/>
        <w:jc w:val="both"/>
        <w:rPr>
          <w:sz w:val="22"/>
        </w:rPr>
      </w:pPr>
      <w:r>
        <w:rPr>
          <w:sz w:val="22"/>
        </w:rPr>
        <w:t>prepare, execute for and on behalf of the undersigned, in the undersigned’s capacity as an officer, director or beneficial owner of more than 10% of a registered class of securities of the Company, Forms 3, 4 and 5 (including any amendments thereto) in accordance with Section 16(a) of the Securities Exchange Act of 1934, as amended (the “</w:t>
      </w:r>
      <w:r>
        <w:rPr>
          <w:b/>
          <w:i/>
          <w:sz w:val="22"/>
        </w:rPr>
        <w:t>Exchange Act</w:t>
      </w:r>
      <w:r>
        <w:rPr>
          <w:sz w:val="22"/>
        </w:rPr>
        <w:t xml:space="preserve">”) and the rules thereunder and a Form ID, Uniform Application for Access Codes to File on EDGAR;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60655"/>
                <wp:effectExtent l="0" t="0" r="0" b="0"/>
                <wp:wrapSquare wrapText="right"/>
                <wp:docPr id="3"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pBdr/>
        <w:bidi w:val="0"/>
        <w:spacing w:before="0" w:after="0"/>
        <w:ind w:left="0" w:right="0" w:hanging="30"/>
        <w:jc w:val="both"/>
        <w:rPr>
          <w:sz w:val="22"/>
        </w:rPr>
      </w:pPr>
      <w:r>
        <w:rPr>
          <w:sz w:val="22"/>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60655"/>
                <wp:effectExtent l="0" t="0" r="0" b="0"/>
                <wp:wrapSquare wrapText="right"/>
                <wp:docPr id="4"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pBdr/>
        <w:bidi w:val="0"/>
        <w:spacing w:before="0" w:after="0"/>
        <w:ind w:left="0" w:right="0" w:hanging="30"/>
        <w:jc w:val="both"/>
        <w:rPr>
          <w:sz w:val="22"/>
        </w:rPr>
      </w:pPr>
      <w:r>
        <w:rPr>
          <w:sz w:val="22"/>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60655"/>
                <wp:effectExtent l="0" t="0" r="0" b="0"/>
                <wp:wrapSquare wrapText="right"/>
                <wp:docPr id="5" name="Frame3"/>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firstLine="720"/>
        <w:jc w:val="both"/>
        <w:rPr>
          <w:sz w:val="22"/>
        </w:rPr>
      </w:pPr>
      <w:r>
        <w:rPr>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720"/>
        <w:jc w:val="both"/>
        <w:rPr>
          <w:sz w:val="22"/>
        </w:rPr>
      </w:pPr>
      <w:r>
        <w:rPr>
          <w:sz w:val="22"/>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pStyle w:val="TextBody"/>
        <w:bidi w:val="0"/>
        <w:spacing w:before="0" w:after="0"/>
        <w:ind w:left="0" w:right="0" w:firstLine="720"/>
        <w:jc w:val="both"/>
        <w:rPr>
          <w:sz w:val="13"/>
        </w:rPr>
      </w:pPr>
      <w:r>
        <w:rPr>
          <w:b/>
          <w:sz w:val="13"/>
        </w:rPr>
        <w:t>IN WITNESS WHEREOF</w:t>
      </w:r>
      <w:r>
        <w:rPr>
          <w:b w:val="false"/>
          <w:sz w:val="22"/>
        </w:rPr>
        <w:t>, the undersigned has caused this Power of Attorney to be executed as of this 7</w:t>
      </w:r>
      <w:r>
        <w:rPr>
          <w:b w:val="false"/>
          <w:position w:val="7"/>
          <w:sz w:val="18"/>
          <w:sz w:val="22"/>
        </w:rPr>
        <w:t>th</w:t>
      </w:r>
      <w:r>
        <w:rPr>
          <w:sz w:val="13"/>
        </w:rPr>
        <w:t xml:space="preserve"> </w:t>
      </w:r>
      <w:r>
        <w:rPr>
          <w:b w:val="false"/>
          <w:sz w:val="22"/>
        </w:rPr>
        <w:t>day of August, 2026.</w:t>
      </w:r>
    </w:p>
    <w:p>
      <w:pPr>
        <w:pStyle w:val="TextBody"/>
        <w:bidi w:val="0"/>
        <w:spacing w:before="0" w:after="0"/>
        <w:ind w:left="0" w:right="0" w:hanging="0"/>
        <w:jc w:val="left"/>
        <w:rPr/>
      </w:pPr>
      <w:r>
        <w:rPr/>
      </w:r>
    </w:p>
    <w:p>
      <w:pPr>
        <w:pStyle w:val="TextBody"/>
        <w:bidi w:val="0"/>
        <w:spacing w:before="0" w:after="0"/>
        <w:ind w:left="0" w:right="0" w:firstLine="4320"/>
        <w:jc w:val="left"/>
        <w:rPr>
          <w:sz w:val="22"/>
          <w:u w:val="single"/>
        </w:rPr>
      </w:pPr>
      <w:r>
        <w:rPr>
          <w:sz w:val="22"/>
          <w:u w:val="single"/>
        </w:rPr>
        <w:t>/s/ Jarrad Mattieu Aguirre</w:t>
      </w:r>
    </w:p>
    <w:p>
      <w:pPr>
        <w:pStyle w:val="TextBody"/>
        <w:bidi w:val="0"/>
        <w:spacing w:before="0" w:after="0"/>
        <w:ind w:left="0" w:right="0" w:firstLine="4320"/>
        <w:jc w:val="left"/>
        <w:rPr>
          <w:sz w:val="22"/>
        </w:rPr>
      </w:pPr>
      <w:r>
        <w:rPr>
          <w:sz w:val="22"/>
        </w:rPr>
        <w:t>Jarrad Mattieu Aguirre, M.D., M.B.A.</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ind w:left="0" w:right="0" w:hanging="0"/>
        <w:jc w:val="left"/>
        <w:rPr>
          <w:sz w:val="24"/>
        </w:rPr>
      </w:pPr>
      <w:r>
        <w:rPr>
          <w:sz w:val="24"/>
        </w:rPr>
        <w:t>0</w: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0331" TargetMode="External"/><Relationship Id="rId3" Type="http://schemas.openxmlformats.org/officeDocument/2006/relationships/hyperlink" Target="http://www.sec.gov/cgi-bin/browse-edgar?action=getcompany&amp;CIK=000180695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1129</Words>
  <Characters>5998</Characters>
  <CharactersWithSpaces>7042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