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Lyell Immunopharma,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83-1300510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201 Haskins Way</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650 695-0677</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LYEL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10, 2026, Lyell Immunopharma, Inc. (the “Company”) virtually held its 2026 annual meeting of stockholders (the “Annual Meeting”). Present at the beginning of the Annual Meeting via remote communication or by proxy were the holders of 15,706,826 shares of common stock of the Company, representing 67.31% of the 23,332,254 shares of common stock outstanding as of the close of business on April 14, 2026, the record date for the Annual Meeting, and constituting a quorum for the transaction of business.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three proposals, each of which is described in more detail in the Company’s definitive proxy statement on Schedule 14A filed with the U.S. Securities and Exchange Commission on April 24, 2026 (the “Proxy Statement”). The following is a brief description of each matter voted upon and the certified results, including the number of votes cast for or against each matter and, if applicable, the number of votes withheld, abstentions and broker non-votes with respect to each matter.</w:t>
      </w:r>
    </w:p>
    <w:p>
      <w:pPr>
        <w:spacing w:after="0" w:line="207" w:lineRule="exact"/>
        <w:rPr>
          <w:sz w:val="20"/>
          <w:szCs w:val="20"/>
          <w:color w:val="auto"/>
        </w:rPr>
      </w:pPr>
    </w:p>
    <w:p>
      <w:pPr>
        <w:ind w:left="960" w:right="1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following Class II directors to hold office until the Company’s 2029 annual meeting of stockholders. The voting results were as follows:</w:t>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00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9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Richard Klausner, M.D.</w:t>
            </w:r>
          </w:p>
        </w:tc>
        <w:tc>
          <w:tcPr>
            <w:tcW w:w="8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12,177,913</w:t>
            </w:r>
          </w:p>
        </w:tc>
        <w:tc>
          <w:tcPr>
            <w:tcW w:w="240" w:type="dxa"/>
            <w:vAlign w:val="bottom"/>
            <w:vMerge w:val="continue"/>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99,627</w:t>
            </w:r>
          </w:p>
        </w:tc>
        <w:tc>
          <w:tcPr>
            <w:tcW w:w="240" w:type="dxa"/>
            <w:vAlign w:val="bottom"/>
            <w:vMerge w:val="continue"/>
          </w:tcPr>
          <w:p>
            <w:pPr>
              <w:spacing w:after="0"/>
              <w:rPr>
                <w:sz w:val="16"/>
                <w:szCs w:val="16"/>
                <w:color w:val="auto"/>
              </w:rPr>
            </w:pPr>
          </w:p>
        </w:tc>
        <w:tc>
          <w:tcPr>
            <w:tcW w:w="78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w w:val="97"/>
              </w:rPr>
              <w:t>3,429,286</w:t>
            </w:r>
          </w:p>
        </w:tc>
        <w:tc>
          <w:tcPr>
            <w:tcW w:w="140" w:type="dxa"/>
            <w:vAlign w:val="bottom"/>
            <w:vMerge w:val="continue"/>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15,706,826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Otis Brawley, M.D.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11,866,210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411,330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3,429,286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15,706,826</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Rieflin</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12,192,547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84,993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3,429,286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15,706,826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60" w:right="5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the fiscal year ending December 31, 2026. The voting results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28"/>
        </w:trPr>
        <w:tc>
          <w:tcPr>
            <w:tcW w:w="210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15,674,347</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30,758</w:t>
            </w:r>
          </w:p>
        </w:tc>
        <w:tc>
          <w:tcPr>
            <w:tcW w:w="80" w:type="dxa"/>
            <w:vAlign w:val="bottom"/>
          </w:tcPr>
          <w:p>
            <w:pPr>
              <w:spacing w:after="0"/>
              <w:rPr>
                <w:sz w:val="19"/>
                <w:szCs w:val="19"/>
                <w:color w:val="auto"/>
              </w:rPr>
            </w:pPr>
          </w:p>
        </w:tc>
        <w:tc>
          <w:tcPr>
            <w:tcW w:w="22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19"/>
                <w:szCs w:val="19"/>
                <w:color w:val="auto"/>
              </w:rPr>
            </w:pPr>
          </w:p>
        </w:tc>
        <w:tc>
          <w:tcPr>
            <w:tcW w:w="210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15,706,826</w:t>
            </w:r>
          </w:p>
        </w:tc>
      </w:tr>
    </w:tbl>
    <w:p>
      <w:pPr>
        <w:spacing w:after="0" w:line="206" w:lineRule="exact"/>
        <w:rPr>
          <w:sz w:val="20"/>
          <w:szCs w:val="20"/>
          <w:color w:val="auto"/>
        </w:rPr>
      </w:pPr>
    </w:p>
    <w:p>
      <w:pPr>
        <w:ind w:left="960" w:right="1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the Proxy Statement. The voting results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15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11,860,218</w:t>
            </w:r>
          </w:p>
        </w:tc>
        <w:tc>
          <w:tcPr>
            <w:tcW w:w="160" w:type="dxa"/>
            <w:vAlign w:val="bottom"/>
          </w:tcPr>
          <w:p>
            <w:pPr>
              <w:spacing w:after="0"/>
              <w:rPr>
                <w:sz w:val="19"/>
                <w:szCs w:val="19"/>
                <w:color w:val="auto"/>
              </w:rPr>
            </w:pPr>
          </w:p>
        </w:tc>
        <w:tc>
          <w:tcPr>
            <w:tcW w:w="16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6,613</w:t>
            </w:r>
          </w:p>
        </w:tc>
        <w:tc>
          <w:tcPr>
            <w:tcW w:w="80" w:type="dxa"/>
            <w:vAlign w:val="bottom"/>
          </w:tcPr>
          <w:p>
            <w:pPr>
              <w:spacing w:after="0"/>
              <w:rPr>
                <w:sz w:val="19"/>
                <w:szCs w:val="19"/>
                <w:color w:val="auto"/>
              </w:rPr>
            </w:pPr>
          </w:p>
        </w:tc>
        <w:tc>
          <w:tcPr>
            <w:tcW w:w="17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410,709</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3,429,286</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15,706,826</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Meltz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Mark Meltz</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2026-06-15T15:09:58Z</dcterms:created>
  <dcterms:modified xsi:type="dcterms:W3CDTF">2026-06-15T15:09:58Z</dcterms:modified>
</cp:coreProperties>
</file>