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53160ds3.htm"/>
        <w:bookmarkStart w:id="1" w:name="ksd53160ds3"/>
        <w:bookmarkEnd w:id="0"/>
        <w:bookmarkEnd w:id="1"/>
        <w:r>
          <w:rPr>
            <w:rStyle w:val="InternetLink"/>
            <w:b/>
            <w:sz w:val="20"/>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filed with the Securities and Exchange Commission on July 13, 2026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0"/>
        </w:rPr>
      </w:pPr>
      <w:r>
        <w:rPr>
          <w:rFonts w:ascii="Times New Roman" w:hAnsi="Times New Roman"/>
          <w:b/>
          <w:sz w:val="30"/>
        </w:rPr>
        <w:t xml:space="preserve">UNITED STATES </w:t>
      </w:r>
    </w:p>
    <w:p>
      <w:pPr>
        <w:pStyle w:val="TextBody"/>
        <w:bidi w:val="0"/>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bidi w:val="0"/>
        <w:spacing w:before="0" w:after="0"/>
        <w:jc w:val="center"/>
        <w:rPr>
          <w:rFonts w:ascii="Times New Roman" w:hAnsi="Times New Roman"/>
          <w:b/>
          <w:sz w:val="18"/>
        </w:rPr>
      </w:pPr>
      <w:r>
        <w:rPr>
          <w:rFonts w:ascii="Times New Roman" w:hAnsi="Times New Roman"/>
          <w:b/>
          <w:sz w:val="18"/>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0"/>
        </w:rPr>
      </w:pPr>
      <w:r>
        <w:rPr>
          <w:rFonts w:ascii="Times New Roman" w:hAnsi="Times New Roman"/>
          <w:b/>
          <w:sz w:val="30"/>
        </w:rPr>
        <w:t xml:space="preserve">FORM S-3 </w:t>
      </w:r>
    </w:p>
    <w:p>
      <w:pPr>
        <w:pStyle w:val="TextBody"/>
        <w:bidi w:val="0"/>
        <w:spacing w:before="0" w:after="0"/>
        <w:jc w:val="center"/>
        <w:rPr>
          <w:rFonts w:ascii="Times New Roman" w:hAnsi="Times New Roman"/>
          <w:b/>
          <w:sz w:val="30"/>
        </w:rPr>
      </w:pPr>
      <w:r>
        <w:rPr>
          <w:rFonts w:ascii="Times New Roman" w:hAnsi="Times New Roman"/>
          <w:b/>
          <w:sz w:val="30"/>
        </w:rPr>
        <w:t xml:space="preserve">REGISTRATION STATEMENT </w:t>
      </w:r>
    </w:p>
    <w:p>
      <w:pPr>
        <w:pStyle w:val="TextBody"/>
        <w:bidi w:val="0"/>
        <w:spacing w:before="0" w:after="0"/>
        <w:jc w:val="center"/>
        <w:rPr>
          <w:rFonts w:ascii="Times New Roman" w:hAnsi="Times New Roman"/>
          <w:b/>
          <w:i/>
          <w:sz w:val="18"/>
        </w:rPr>
      </w:pPr>
      <w:r>
        <w:rPr>
          <w:rFonts w:ascii="Times New Roman" w:hAnsi="Times New Roman"/>
          <w:b/>
          <w:i/>
          <w:sz w:val="18"/>
        </w:rPr>
        <w:t xml:space="preserve">UNDER </w:t>
      </w:r>
    </w:p>
    <w:p>
      <w:pPr>
        <w:pStyle w:val="TextBody"/>
        <w:bidi w:val="0"/>
        <w:spacing w:before="0" w:after="0"/>
        <w:jc w:val="center"/>
        <w:rPr>
          <w:rFonts w:ascii="Times New Roman" w:hAnsi="Times New Roman"/>
          <w:b/>
          <w:i/>
          <w:sz w:val="18"/>
        </w:rPr>
      </w:pPr>
      <w:r>
        <w:rPr>
          <w:rFonts w:ascii="Times New Roman" w:hAnsi="Times New Roman"/>
          <w:b/>
          <w:i/>
          <w:sz w:val="18"/>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0"/>
        </w:rPr>
      </w:pPr>
      <w:r>
        <w:rPr>
          <w:rFonts w:ascii="Times New Roman" w:hAnsi="Times New Roman"/>
          <w:b/>
          <w:sz w:val="40"/>
        </w:rPr>
        <w:t xml:space="preserve">Lyell Immunopharma, Inc.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1"/>
        <w:gridCol w:w="4950"/>
      </w:tblGrid>
      <w:tr>
        <w:trPr/>
        <w:tc>
          <w:tcPr>
            <w:tcW w:w="515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50"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283"/>
              <w:jc w:val="center"/>
              <w:rPr>
                <w:b/>
              </w:rPr>
            </w:pPr>
            <w:r>
              <w:rPr>
                <w:b/>
              </w:rPr>
              <w:t>83-1300510</w:t>
            </w:r>
          </w:p>
        </w:tc>
      </w:tr>
      <w:tr>
        <w:trPr/>
        <w:tc>
          <w:tcPr>
            <w:tcW w:w="5154" w:type="dxa"/>
            <w:tcBorders/>
          </w:tcPr>
          <w:p>
            <w:pPr>
              <w:pStyle w:val="TableContents"/>
              <w:bidi w:val="0"/>
              <w:spacing w:before="0" w:after="0"/>
              <w:jc w:val="center"/>
              <w:rPr>
                <w:rFonts w:ascii="Times New Roman" w:hAnsi="Times New Roman"/>
                <w:b/>
                <w:sz w:val="14"/>
              </w:rPr>
            </w:pPr>
            <w:r>
              <w:rPr>
                <w:rFonts w:ascii="Times New Roman" w:hAnsi="Times New Roman"/>
                <w:b/>
                <w:sz w:val="14"/>
              </w:rPr>
              <w:t>(State or other jurisdiction of</w:t>
            </w:r>
          </w:p>
          <w:p>
            <w:pPr>
              <w:pStyle w:val="TableContents"/>
              <w:bidi w:val="0"/>
              <w:spacing w:before="0" w:after="20"/>
              <w:jc w:val="center"/>
              <w:rPr>
                <w:rFonts w:ascii="Times New Roman" w:hAnsi="Times New Roman"/>
                <w:b/>
                <w:sz w:val="14"/>
              </w:rPr>
            </w:pPr>
            <w:r>
              <w:rPr>
                <w:rFonts w:ascii="Times New Roman" w:hAnsi="Times New Roman"/>
                <w:b/>
                <w:sz w:val="14"/>
              </w:rPr>
              <w:t>incorporation or organization)</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0"/>
              <w:jc w:val="center"/>
              <w:rPr>
                <w:rFonts w:ascii="Times New Roman" w:hAnsi="Times New Roman"/>
                <w:b/>
                <w:sz w:val="14"/>
              </w:rPr>
            </w:pPr>
            <w:r>
              <w:rPr>
                <w:rFonts w:ascii="Times New Roman" w:hAnsi="Times New Roman"/>
                <w:b/>
                <w:sz w:val="14"/>
              </w:rPr>
              <w:t>(I.R.S. Employer</w:t>
            </w:r>
          </w:p>
          <w:p>
            <w:pPr>
              <w:pStyle w:val="TableContents"/>
              <w:bidi w:val="0"/>
              <w:spacing w:before="0" w:after="20"/>
              <w:jc w:val="center"/>
              <w:rPr>
                <w:rFonts w:ascii="Times New Roman" w:hAnsi="Times New Roman"/>
                <w:b/>
                <w:sz w:val="14"/>
              </w:rPr>
            </w:pPr>
            <w:r>
              <w:rPr>
                <w:rFonts w:ascii="Times New Roman" w:hAnsi="Times New Roman"/>
                <w:b/>
                <w:sz w:val="14"/>
              </w:rPr>
              <w:t>Identification Number)</w:t>
            </w:r>
          </w:p>
        </w:tc>
      </w:tr>
    </w:tbl>
    <w:p>
      <w:pPr>
        <w:pStyle w:val="TextBody"/>
        <w:bidi w:val="0"/>
        <w:spacing w:before="240" w:after="0"/>
        <w:jc w:val="center"/>
        <w:rPr>
          <w:rFonts w:ascii="Times New Roman" w:hAnsi="Times New Roman"/>
          <w:b/>
          <w:sz w:val="16"/>
        </w:rPr>
      </w:pPr>
      <w:r>
        <w:rPr>
          <w:rFonts w:ascii="Times New Roman" w:hAnsi="Times New Roman"/>
          <w:b/>
          <w:sz w:val="16"/>
        </w:rPr>
        <w:t xml:space="preserve">201 Haskins Way </w:t>
      </w:r>
    </w:p>
    <w:p>
      <w:pPr>
        <w:pStyle w:val="TextBody"/>
        <w:bidi w:val="0"/>
        <w:spacing w:before="0" w:after="0"/>
        <w:jc w:val="center"/>
        <w:rPr>
          <w:rFonts w:ascii="Times New Roman" w:hAnsi="Times New Roman"/>
          <w:b/>
          <w:sz w:val="16"/>
        </w:rPr>
      </w:pPr>
      <w:r>
        <w:rPr>
          <w:rFonts w:ascii="Times New Roman" w:hAnsi="Times New Roman"/>
          <w:b/>
          <w:sz w:val="16"/>
        </w:rPr>
        <w:t xml:space="preserve">South San Francisco, California 94080 </w:t>
      </w:r>
    </w:p>
    <w:p>
      <w:pPr>
        <w:pStyle w:val="TextBody"/>
        <w:bidi w:val="0"/>
        <w:spacing w:before="0" w:after="0"/>
        <w:jc w:val="center"/>
        <w:rPr>
          <w:rFonts w:ascii="Times New Roman" w:hAnsi="Times New Roman"/>
          <w:b/>
          <w:sz w:val="16"/>
        </w:rPr>
      </w:pPr>
      <w:r>
        <w:rPr>
          <w:rFonts w:ascii="Times New Roman" w:hAnsi="Times New Roman"/>
          <w:b/>
          <w:sz w:val="16"/>
        </w:rPr>
        <w:t xml:space="preserve">(650) 695-0677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6"/>
        </w:rPr>
      </w:pPr>
      <w:r>
        <w:rPr>
          <w:rFonts w:ascii="Times New Roman" w:hAnsi="Times New Roman"/>
          <w:b/>
          <w:sz w:val="16"/>
        </w:rPr>
        <w:t xml:space="preserve">Lynn Seely, M.D. </w:t>
      </w:r>
    </w:p>
    <w:p>
      <w:pPr>
        <w:pStyle w:val="TextBody"/>
        <w:bidi w:val="0"/>
        <w:spacing w:before="0" w:after="0"/>
        <w:jc w:val="center"/>
        <w:rPr>
          <w:rFonts w:ascii="Times New Roman" w:hAnsi="Times New Roman"/>
          <w:b/>
          <w:sz w:val="16"/>
        </w:rPr>
      </w:pPr>
      <w:r>
        <w:rPr>
          <w:rFonts w:ascii="Times New Roman" w:hAnsi="Times New Roman"/>
          <w:b/>
          <w:sz w:val="16"/>
        </w:rPr>
        <w:t xml:space="preserve">President and Chief Executive Officer </w:t>
      </w:r>
    </w:p>
    <w:p>
      <w:pPr>
        <w:pStyle w:val="TextBody"/>
        <w:bidi w:val="0"/>
        <w:spacing w:before="0" w:after="0"/>
        <w:jc w:val="center"/>
        <w:rPr>
          <w:rFonts w:ascii="Times New Roman" w:hAnsi="Times New Roman"/>
          <w:b/>
          <w:sz w:val="16"/>
        </w:rPr>
      </w:pPr>
      <w:r>
        <w:rPr>
          <w:rFonts w:ascii="Times New Roman" w:hAnsi="Times New Roman"/>
          <w:b/>
          <w:sz w:val="16"/>
        </w:rPr>
        <w:t xml:space="preserve">Lyell Immunopharma, Inc. </w:t>
      </w:r>
    </w:p>
    <w:p>
      <w:pPr>
        <w:pStyle w:val="TextBody"/>
        <w:bidi w:val="0"/>
        <w:spacing w:before="0" w:after="0"/>
        <w:jc w:val="center"/>
        <w:rPr>
          <w:rFonts w:ascii="Times New Roman" w:hAnsi="Times New Roman"/>
          <w:b/>
          <w:sz w:val="16"/>
        </w:rPr>
      </w:pPr>
      <w:r>
        <w:rPr>
          <w:rFonts w:ascii="Times New Roman" w:hAnsi="Times New Roman"/>
          <w:b/>
          <w:sz w:val="16"/>
        </w:rPr>
        <w:t xml:space="preserve">201 Haskins Way </w:t>
      </w:r>
    </w:p>
    <w:p>
      <w:pPr>
        <w:pStyle w:val="TextBody"/>
        <w:bidi w:val="0"/>
        <w:spacing w:before="0" w:after="0"/>
        <w:jc w:val="center"/>
        <w:rPr>
          <w:rFonts w:ascii="Times New Roman" w:hAnsi="Times New Roman"/>
          <w:b/>
          <w:sz w:val="16"/>
        </w:rPr>
      </w:pPr>
      <w:r>
        <w:rPr>
          <w:rFonts w:ascii="Times New Roman" w:hAnsi="Times New Roman"/>
          <w:b/>
          <w:sz w:val="16"/>
        </w:rPr>
        <w:t xml:space="preserve">South San Francisco, California 94080 </w:t>
      </w:r>
    </w:p>
    <w:p>
      <w:pPr>
        <w:pStyle w:val="TextBody"/>
        <w:bidi w:val="0"/>
        <w:spacing w:before="0" w:after="0"/>
        <w:jc w:val="center"/>
        <w:rPr>
          <w:rFonts w:ascii="Times New Roman" w:hAnsi="Times New Roman"/>
          <w:b/>
          <w:sz w:val="16"/>
        </w:rPr>
      </w:pPr>
      <w:r>
        <w:rPr>
          <w:rFonts w:ascii="Times New Roman" w:hAnsi="Times New Roman"/>
          <w:b/>
          <w:sz w:val="16"/>
        </w:rPr>
        <w:t xml:space="preserve">(650) 695-0677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16"/>
        </w:rPr>
      </w:pPr>
      <w:r>
        <w:rPr>
          <w:rFonts w:ascii="Times New Roman" w:hAnsi="Times New Roman"/>
          <w:b/>
          <w:i/>
          <w:sz w:val="16"/>
        </w:rPr>
        <w:t xml:space="preserve">Copies to: </w:t>
      </w:r>
    </w:p>
    <w:p>
      <w:pPr>
        <w:pStyle w:val="TextBody"/>
        <w:bidi w:val="0"/>
        <w:spacing w:before="120" w:after="0"/>
        <w:jc w:val="center"/>
        <w:rPr>
          <w:rFonts w:ascii="Times New Roman" w:hAnsi="Times New Roman"/>
          <w:b/>
          <w:sz w:val="16"/>
        </w:rPr>
      </w:pPr>
      <w:r>
        <w:rPr>
          <w:rFonts w:ascii="Times New Roman" w:hAnsi="Times New Roman"/>
          <w:b/>
          <w:sz w:val="16"/>
        </w:rPr>
        <w:t xml:space="preserve">Asa M. Henin </w:t>
      </w:r>
    </w:p>
    <w:p>
      <w:pPr>
        <w:pStyle w:val="TextBody"/>
        <w:bidi w:val="0"/>
        <w:spacing w:before="0" w:after="0"/>
        <w:jc w:val="center"/>
        <w:rPr>
          <w:rFonts w:ascii="Times New Roman" w:hAnsi="Times New Roman"/>
          <w:b/>
          <w:sz w:val="16"/>
        </w:rPr>
      </w:pPr>
      <w:r>
        <w:rPr>
          <w:rFonts w:ascii="Times New Roman" w:hAnsi="Times New Roman"/>
          <w:b/>
          <w:sz w:val="16"/>
        </w:rPr>
        <w:t xml:space="preserve">Kenneth Guernsey </w:t>
      </w:r>
    </w:p>
    <w:p>
      <w:pPr>
        <w:pStyle w:val="TextBody"/>
        <w:bidi w:val="0"/>
        <w:spacing w:before="0" w:after="0"/>
        <w:jc w:val="center"/>
        <w:rPr>
          <w:rFonts w:ascii="Times New Roman" w:hAnsi="Times New Roman"/>
          <w:b/>
          <w:sz w:val="16"/>
        </w:rPr>
      </w:pPr>
      <w:r>
        <w:rPr>
          <w:rFonts w:ascii="Times New Roman" w:hAnsi="Times New Roman"/>
          <w:b/>
          <w:sz w:val="16"/>
        </w:rPr>
        <w:t xml:space="preserve">Cooley LLP </w:t>
      </w:r>
    </w:p>
    <w:p>
      <w:pPr>
        <w:pStyle w:val="TextBody"/>
        <w:bidi w:val="0"/>
        <w:spacing w:before="0" w:after="0"/>
        <w:jc w:val="center"/>
        <w:rPr>
          <w:rFonts w:ascii="Times New Roman" w:hAnsi="Times New Roman"/>
          <w:b/>
          <w:sz w:val="16"/>
        </w:rPr>
      </w:pPr>
      <w:r>
        <w:rPr>
          <w:rFonts w:ascii="Times New Roman" w:hAnsi="Times New Roman"/>
          <w:b/>
          <w:sz w:val="16"/>
        </w:rPr>
        <w:t xml:space="preserve">10265 Science Center Drive </w:t>
      </w:r>
    </w:p>
    <w:p>
      <w:pPr>
        <w:pStyle w:val="TextBody"/>
        <w:bidi w:val="0"/>
        <w:spacing w:before="0" w:after="0"/>
        <w:jc w:val="center"/>
        <w:rPr>
          <w:rFonts w:ascii="Times New Roman" w:hAnsi="Times New Roman"/>
          <w:b/>
          <w:sz w:val="16"/>
        </w:rPr>
      </w:pPr>
      <w:r>
        <w:rPr>
          <w:rFonts w:ascii="Times New Roman" w:hAnsi="Times New Roman"/>
          <w:b/>
          <w:sz w:val="16"/>
        </w:rPr>
        <w:t xml:space="preserve">San Diego, CA 92121 </w:t>
      </w:r>
    </w:p>
    <w:p>
      <w:pPr>
        <w:pStyle w:val="TextBody"/>
        <w:bidi w:val="0"/>
        <w:spacing w:before="0" w:after="0"/>
        <w:jc w:val="center"/>
        <w:rPr>
          <w:rFonts w:ascii="Times New Roman" w:hAnsi="Times New Roman"/>
          <w:b/>
          <w:sz w:val="16"/>
        </w:rPr>
      </w:pPr>
      <w:r>
        <w:rPr>
          <w:rFonts w:ascii="Times New Roman" w:hAnsi="Times New Roman"/>
          <w:b/>
          <w:sz w:val="16"/>
        </w:rPr>
        <w:t xml:space="preserve">(858) 550-6000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6"/>
        </w:rPr>
      </w:pPr>
      <w:r>
        <w:rPr>
          <w:rFonts w:ascii="Times New Roman" w:hAnsi="Times New Roman"/>
          <w:b/>
          <w:sz w:val="16"/>
        </w:rPr>
        <w:t xml:space="preserve">Approximate date of commencement of proposed sale to the public: </w:t>
      </w:r>
      <w:r>
        <w:rPr>
          <w:rFonts w:ascii="Times New Roman" w:hAnsi="Times New Roman"/>
          <w:sz w:val="16"/>
        </w:rPr>
        <w:t xml:space="preserve">From time to time after the effective date of this Registration Statement. </w:t>
      </w:r>
    </w:p>
    <w:p>
      <w:pPr>
        <w:pStyle w:val="TextBody"/>
        <w:bidi w:val="0"/>
        <w:spacing w:before="240" w:after="0"/>
        <w:jc w:val="left"/>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bidi w:val="0"/>
        <w:spacing w:before="24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24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19"/>
        <w:gridCol w:w="103"/>
        <w:gridCol w:w="4861"/>
        <w:gridCol w:w="127"/>
        <w:gridCol w:w="2636"/>
        <w:gridCol w:w="103"/>
        <w:gridCol w:w="256"/>
      </w:tblGrid>
      <w:tr>
        <w:trPr/>
        <w:tc>
          <w:tcPr>
            <w:tcW w:w="2119"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6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19"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61"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19" w:type="dxa"/>
            <w:tcBorders/>
            <w:vAlign w:val="center"/>
          </w:tcPr>
          <w:p>
            <w:pPr>
              <w:pStyle w:val="TableContents"/>
              <w:bidi w:val="0"/>
              <w:spacing w:before="0" w:after="283"/>
              <w:jc w:val="left"/>
              <w:rPr>
                <w:sz w:val="4"/>
                <w:szCs w:val="4"/>
              </w:rPr>
            </w:pPr>
            <w:r>
              <w:rPr>
                <w:sz w:val="4"/>
                <w:szCs w:val="4"/>
              </w:rPr>
            </w:r>
          </w:p>
        </w:tc>
        <w:tc>
          <w:tcPr>
            <w:tcW w:w="4964"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19"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61"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19" w:type="dxa"/>
            <w:tcBorders/>
            <w:vAlign w:val="center"/>
          </w:tcPr>
          <w:p>
            <w:pPr>
              <w:pStyle w:val="TableContents"/>
              <w:bidi w:val="0"/>
              <w:spacing w:before="0" w:after="283"/>
              <w:jc w:val="left"/>
              <w:rPr>
                <w:sz w:val="4"/>
                <w:szCs w:val="4"/>
              </w:rPr>
            </w:pPr>
            <w:r>
              <w:rPr>
                <w:sz w:val="4"/>
                <w:szCs w:val="4"/>
              </w:rPr>
            </w:r>
          </w:p>
        </w:tc>
        <w:tc>
          <w:tcPr>
            <w:tcW w:w="4964"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19"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61"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prospectus is not complete and may be changed. The selling stockholder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JULY 13, 2026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479550" cy="1104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79550" cy="110490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1,100,000 Shares of 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This prospectus covers the offer and resale by Innovative Cellular Therapeutics Holdings Limited, a Cayman Island exempted company incorporated with limited liability (“ICT Holdings”), as the selling stockholder, of up to 1,100,000 shares of our common stock, par value $0.0001 per share. The shares of common stock registered for resale pursuant to this prospectus were issued to ICT Holdings on July 10, 2026 upon achievement of certain milestones, as part of the consideration under an Exclusive License Agreement, dated as of November 6, 2025 (the “License Agreement”), by and among us, ICT Holdings and Innovative Cellular Therapeutics, Inc., a Delaware corporation (“ICT” and together with ICT Holdings, the “ICT Group”), pursuant to which the ICT Group granted us an exclusive license to research, develop, manufacture, commercialize and otherwise exploit certain product candidates and products worldwide except in mainland China, Taiwan, Macau and Hong Kong.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registering the shares of our common stock on behalf of ICT Holdings, to be offered and sold by ICT Holdings from time to time. We are not selling any securities under this prospectus and will not receive any of the proceeds from the sale of shares by ICT Holdings.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This prospectus provides a general description of the common stock ICT Holdings may offer. ICT Holdings may sell the shares of our common stock described in this prospectus in a number of different ways and at varying prices. See the section titled “Plan of Distribution” on page 7 of this prospectus for more information about how ICT Holdings may sell the shares of common stock being registered pursuant to this prospectus.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and ICT Holdings have agreed to each be responsible for 50% of the expenses incurred in registering the shares of common stock, including certain legal and accounting fees. ICT Holdings will bear all underwriting discounts, selling commissions and similar fees and arrangements and stock transfer taxes allocable to its sales of the shares of our common stock and certain additional legal and advisor fees.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listed on the Nasdaq Global Select Market under the symbol “LYEL.” On July 10, 2026, the last reported sale price of our common stock was $15.01 per share.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Investing in our common stock involves a high degree of risk. Before making an investment decision, please read the information under “</w:t>
      </w:r>
      <w:hyperlink w:anchor="toc53160_4">
        <w:r>
          <w:rPr>
            <w:rStyle w:val="InternetLink"/>
            <w:rFonts w:ascii="Times New Roman" w:hAnsi="Times New Roman"/>
            <w:b/>
            <w:sz w:val="24"/>
          </w:rPr>
          <w:t>Risk Factors</w:t>
        </w:r>
      </w:hyperlink>
      <w:r>
        <w:rPr>
          <w:rFonts w:ascii="Times New Roman" w:hAnsi="Times New Roman"/>
          <w:b/>
          <w:sz w:val="24"/>
        </w:rPr>
        <w:t xml:space="preserve">” on page 4 of this prospectus and under similar headings in any amendment or supplement to this prospectus or in any filing with the Securities and Exchange Commission that is incorporated by reference herein.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The date of this prospectus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53160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53160_2">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iv</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53160_3">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53160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53160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53160_6">
              <w:r>
                <w:rPr>
                  <w:rStyle w:val="InternetLink"/>
                  <w:rFonts w:ascii="Times New Roman" w:hAnsi="Times New Roman"/>
                  <w:sz w:val="20"/>
                </w:rPr>
                <w:t>SELLING STOCKHOLDER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53160_7">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53160_8">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53160_9">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53160_10">
              <w:r>
                <w:rPr>
                  <w:rStyle w:val="InternetLink"/>
                  <w:rFonts w:ascii="Times New Roman" w:hAnsi="Times New Roman"/>
                  <w:sz w:val="20"/>
                </w:rPr>
                <w:t>WHERE YOU CAN FIND ADDITIONAL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53160_11">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53160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on Form S-3 that we filed with the Securities and Exchange Commission (“SEC”), using a “shelf” registration process. Under this registration statement, ICT Holdings, as the selling stockholder, may offer and sell up to 1,100,000 shares of our common stock described in this prospectus. We are not selling any securities under this prospectus and will not receive any of the proceeds from the sale of shares by the selling stockholder. For general information about the distribution of shares of common stock offered by the selling stockholder, see the section in this prospectus titled “</w:t>
      </w:r>
      <w:r>
        <w:rPr>
          <w:rFonts w:ascii="Times New Roman" w:hAnsi="Times New Roman"/>
          <w:i/>
          <w:sz w:val="20"/>
        </w:rPr>
        <w:t>Plan of 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We urge you to read carefully this prospectus, together with the information incorporated herein by reference as described under the sections titled “</w:t>
      </w:r>
      <w:r>
        <w:rPr>
          <w:rFonts w:ascii="Times New Roman" w:hAnsi="Times New Roman"/>
          <w:i/>
          <w:sz w:val="20"/>
        </w:rPr>
        <w:t>Where You Can Find Additional Information</w:t>
      </w:r>
      <w:r>
        <w:rPr>
          <w:rFonts w:ascii="Times New Roman" w:hAnsi="Times New Roman"/>
          <w:sz w:val="20"/>
        </w:rPr>
        <w:t>” and “</w:t>
      </w:r>
      <w:r>
        <w:rPr>
          <w:rFonts w:ascii="Times New Roman" w:hAnsi="Times New Roman"/>
          <w:i/>
          <w:sz w:val="20"/>
        </w:rPr>
        <w:t>Incorporation of Certain Information by Reference</w:t>
      </w:r>
      <w:r>
        <w:rPr>
          <w:rFonts w:ascii="Times New Roman" w:hAnsi="Times New Roman"/>
          <w:sz w:val="20"/>
        </w:rPr>
        <w:t xml:space="preserve">,” before buying any of the shares of our common stock being offered. </w:t>
      </w:r>
    </w:p>
    <w:p>
      <w:pPr>
        <w:pStyle w:val="TextBody"/>
        <w:bidi w:val="0"/>
        <w:spacing w:before="240" w:after="0"/>
        <w:jc w:val="left"/>
        <w:rPr>
          <w:rFonts w:ascii="Times New Roman" w:hAnsi="Times New Roman"/>
          <w:sz w:val="20"/>
        </w:rPr>
      </w:pPr>
      <w:r>
        <w:rPr>
          <w:rFonts w:ascii="Times New Roman" w:hAnsi="Times New Roman"/>
          <w:sz w:val="20"/>
        </w:rPr>
        <w:t>You should rely only on the information contained in, or incorporated by reference into, this prospectus. We have not authorized any other person to provide you with different or additional information. If anyone provides you with different or inconsistent information, you should not rely on it. We take no responsibility for, and can provide no assurance as to the reliability of, any other information that others may give you. You should assume that the information appearing in this prospectus and the documents incorporated by reference into this prospectus, is accurate only as of the date of those respective documents. Our business, financial condition, results of operations and prospects may have changed since those dates. You should read this prospectus and the documents incorporated by reference into this prospectus, in their entirety before making an investment decision. You should also read and consider the information in the documents to which we have referred you in the sections of this prospectus titled “</w:t>
      </w:r>
      <w:r>
        <w:rPr>
          <w:rFonts w:ascii="Times New Roman" w:hAnsi="Times New Roman"/>
          <w:i/>
          <w:sz w:val="20"/>
        </w:rPr>
        <w:t>Where You Can Find Additional Information</w:t>
      </w:r>
      <w:r>
        <w:rPr>
          <w:rFonts w:ascii="Times New Roman" w:hAnsi="Times New Roman"/>
          <w:sz w:val="20"/>
        </w:rPr>
        <w:t>” and “</w:t>
      </w:r>
      <w:r>
        <w:rPr>
          <w:rFonts w:ascii="Times New Roman" w:hAnsi="Times New Roman"/>
          <w:i/>
          <w:sz w:val="20"/>
        </w:rPr>
        <w:t>Incorporation of Certain Information by Reference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is offering to sell, and seeking offers to buy, shares of our common stock only in jurisdictions where offers and sales are permitted. The distribution of this prospectus and the offering of our securities in certain jurisdictions may be restricted by law. Persons outside the United States who come into possession of this prospectus must inform themselves about, and observe any restrictions relating to, the offering of our securities and the distribution of this prospectus outside the United States. This prospectus does not constitute, and may not be used in connection with, an offer to sell, or a solicitation of an offer to buy, any shares of common stock offered by this prospectus by any person in any jurisdiction in which it is unlawful for such person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We obtained the industry and market data included or incorporated by reference in this prospectus from our own research as well as from industry and general publications, surveys and studies conducted by third parties. This data involves a number of assumptions and limitations, and you are cautioned not to give undue weight to such estimates. In addition, projections, assumptions and estimates of our future performance and the future performance of the industry in which we operate is necessarily subject to a high degree of uncertainty and risk due to a variety of factors, including those described in the section of this prospectus titled “</w:t>
      </w:r>
      <w:r>
        <w:rPr>
          <w:rFonts w:ascii="Times New Roman" w:hAnsi="Times New Roman"/>
          <w:i/>
          <w:sz w:val="20"/>
        </w:rPr>
        <w:t>Risk Factors</w:t>
      </w:r>
      <w:r>
        <w:rPr>
          <w:rFonts w:ascii="Times New Roman" w:hAnsi="Times New Roman"/>
          <w:sz w:val="20"/>
        </w:rPr>
        <w:t xml:space="preserve">” and documents incorporated by reference into this prospectus. These and other factors could cause results to differ materially from those expressed in the estimates made by independent parties and by 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the information incorporated by reference into this prospectus, includes trademarks, service marks and trade names owned by us or others. All trademarks, service marks and trade names included or incorporated by reference in this prospectus are the property of their respective owners.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of some of the documents referred to herein have been filed, will be filed or will be incorporated by reference as exhibits to the registration statement of which this prospectus is a part, and you may obtain copies of those documents as described in the sections titled “</w:t>
      </w:r>
      <w:r>
        <w:rPr>
          <w:rFonts w:ascii="Times New Roman" w:hAnsi="Times New Roman"/>
          <w:i/>
          <w:sz w:val="20"/>
        </w:rPr>
        <w:t>Where You Can Find Additional Information</w:t>
      </w:r>
      <w:r>
        <w:rPr>
          <w:rFonts w:ascii="Times New Roman" w:hAnsi="Times New Roman"/>
          <w:sz w:val="20"/>
        </w:rPr>
        <w:t>” and “</w:t>
      </w:r>
      <w:r>
        <w:rPr>
          <w:rFonts w:ascii="Times New Roman" w:hAnsi="Times New Roman"/>
          <w:i/>
          <w:sz w:val="20"/>
        </w:rPr>
        <w:t>Incorporation of Certain Information by Reference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information other than the information that we have provided or incorporated by reference in this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of this prospectus and that any information we have incorporated by reference is accurate only as of the date of the document incorporated by reference, regardless of the time of delivery of this prospectus, or any sale of our common stock. Our business, financial condition and results of operations may have changed since those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53160_2"/>
      <w:bookmarkEnd w:id="4"/>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applicable prospectus supplement or free writing prospectus, including the documents that we incorporate by reference herein and therein, contain “forward-looking statements” within the meaning of Section 27A of the Securities Act of 1933, as amended (the “Securities Act”), and Section 21E of the Securities Exchange Act of 1934, as amended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As such, our actual results may differ significantly from those expressed in any forward-looking statements. Given these uncertainties, you should not place undue reliance on these forward-looking statements. In addition, statements indicating that “we believe” and similar statements reflect our beliefs and opinions on the relevant subject. These statements are based upon information available to us as of the date they were made, and while we believe such information formed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We discuss many of these risks in greater detail under “</w:t>
      </w:r>
      <w:r>
        <w:rPr>
          <w:rFonts w:ascii="Times New Roman" w:hAnsi="Times New Roman"/>
          <w:i/>
          <w:sz w:val="20"/>
        </w:rPr>
        <w:t>Risk Factors</w:t>
      </w:r>
      <w:r>
        <w:rPr>
          <w:rFonts w:ascii="Times New Roman" w:hAnsi="Times New Roman"/>
          <w:sz w:val="20"/>
        </w:rPr>
        <w:t xml:space="preserve">” in this prospectus and in the “Risk Factors,” “Business” and “Management’s Discussion and Analysis of Financial Condition and Results of Operations” sections incorporated by reference from our most recent Annual Report on Form 10-K and in our Quarterly Reports on Form 10-Q for the quarterly periods ended subsequent to our filing of such Annual Report on Form 10-K, as well as any amendments thereto reflected in subsequent filings with the SEC. </w:t>
      </w:r>
    </w:p>
    <w:p>
      <w:pPr>
        <w:pStyle w:val="TextBody"/>
        <w:bidi w:val="0"/>
        <w:spacing w:before="240" w:after="0"/>
        <w:jc w:val="left"/>
        <w:rPr>
          <w:rFonts w:ascii="Times New Roman" w:hAnsi="Times New Roman"/>
          <w:sz w:val="20"/>
        </w:rPr>
      </w:pPr>
      <w:r>
        <w:rPr>
          <w:rFonts w:ascii="Times New Roman" w:hAnsi="Times New Roman"/>
          <w:sz w:val="20"/>
        </w:rPr>
        <w:t xml:space="preserve">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any applicable prospectus supplement, together with the documents that we have filed with the SEC that are incorporated by reference and any free writing prospectus we have authorized for use in connection with this offering, completely and with the understanding that our actual future results may be materially different from what we expect. We qualify all of the forward-looking statements in the foregoing documents by these cautionary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53160_3"/>
      <w:bookmarkEnd w:id="5"/>
      <w:r>
        <w:rPr>
          <w:rFonts w:ascii="Times New Roman" w:hAnsi="Times New Roman"/>
          <w:b/>
          <w:sz w:val="20"/>
        </w:rPr>
        <w:t xml:space="preserve">PROSPECTUS SUMMARY </w:t>
      </w:r>
    </w:p>
    <w:p>
      <w:pPr>
        <w:pStyle w:val="TextBody"/>
        <w:bidi w:val="0"/>
        <w:spacing w:before="240" w:after="0"/>
        <w:jc w:val="left"/>
        <w:rPr>
          <w:rFonts w:ascii="Times New Roman" w:hAnsi="Times New Roman"/>
          <w:sz w:val="20"/>
        </w:rPr>
      </w:pPr>
      <w:r>
        <w:rPr>
          <w:rFonts w:ascii="Times New Roman" w:hAnsi="Times New Roman"/>
          <w:i/>
          <w:sz w:val="20"/>
        </w:rPr>
        <w:t>This summary highlights certain information about us, the License Agreement and selected information contained elsewhere in or incorporated by reference into this prospectus. This summary is not complete and does not contain all of the information that you should consider before making an investment decision. For a more complete understanding of our company, you should read and consider carefully the more detailed information included or incorporated by reference in this prospectus and any applicable prospectus supplement, including the factors described under the heading “Risk Factors” on page 4 of this prospectus, as well as the information incorporated herein by reference, before making an investment decision.</w:t>
      </w:r>
      <w:r>
        <w:rPr>
          <w:rFonts w:ascii="Times New Roman" w:hAnsi="Times New Roman"/>
          <w:sz w:val="20"/>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Unless otherwise stated, all references in this prospectus to “we,” “us,” “our,” “Lyell,” the “Company” and similar designations refer to Lyell Immunopharma, Inc. </w:t>
      </w:r>
    </w:p>
    <w:p>
      <w:pPr>
        <w:pStyle w:val="TextBody"/>
        <w:bidi w:val="0"/>
        <w:spacing w:before="360" w:after="0"/>
        <w:jc w:val="left"/>
        <w:rPr>
          <w:rFonts w:ascii="Times New Roman" w:hAnsi="Times New Roman"/>
          <w:b/>
          <w:sz w:val="20"/>
        </w:rPr>
      </w:pPr>
      <w:r>
        <w:rPr>
          <w:rFonts w:ascii="Times New Roman" w:hAnsi="Times New Roman"/>
          <w:b/>
          <w:sz w:val="20"/>
        </w:rPr>
        <w:t xml:space="preserve">Company 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late-stage clinical cell therapy company advancing a pipeline of proprietary next-generation autologous chimeric antigen receptor (CAR) T-cell product candidates for patients with cancer. Our goal is to fully realize the curative potential of cell therapy for patients with hematologic malignancies and solid tumors. To achieve this, we are pioneering novel approaches designed to generate T-cell therapies that drive long-lasting clinical responses. Our investigational CAR T-cell therapies start with the identification of promising cancer targets. We then engineer the patient’s own living immune cells and arm them with our innovative enhancements, including CAR constructs, technologies or manufacturing protocols that are designed to endow T cells with more potent cancer cell killing capabilities.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Company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were incorporated in June 2018 as a Delaware corporation. Our principal executive offices are located at 201 Haskins Way, South San Francisco, California 94080 and our telephone number is (650) 695-0677. Our website address is www.lyell.com. Information found on, or accessible through, our website is not a part of, and is not incorporated into, this prospectus, and you should not consider it as part of this prospectus. Our website address is included in this prospectus as an inactive textual reference only. </w:t>
      </w:r>
    </w:p>
    <w:p>
      <w:pPr>
        <w:pStyle w:val="TextBody"/>
        <w:bidi w:val="0"/>
        <w:spacing w:before="240" w:after="0"/>
        <w:jc w:val="left"/>
        <w:rPr>
          <w:rFonts w:ascii="Times New Roman" w:hAnsi="Times New Roman"/>
          <w:sz w:val="20"/>
        </w:rPr>
      </w:pPr>
      <w:r>
        <w:rPr>
          <w:rFonts w:ascii="Times New Roman" w:hAnsi="Times New Roman"/>
          <w:sz w:val="20"/>
        </w:rPr>
        <w:t xml:space="preserve">The Lyell logo and other trademarks or service marks of Lyell Immunopharma, Inc. appearing in this prospectus are the property of Lyell. Other trademarks, service marks or trade names appearing in this prospectus are the property of their respective owners. We do not intend our use or display of other companies’ trade names, trademarks or service marks to imply a relationship with, or endorsement or sponsorship of us by, these other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License Agreement and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On November 6, 2025 (the “Effective Date”), we entered into the License Agreement with the ICT Group. Under the License Agreement, (i) the ICT Group granted us an exclusive license to research, develop, manufacture, commercialize and otherwise exploit certain product candidates and products worldwide except in mainland China, Taiwan, Macau and Hong Kong and (ii) we (a) paid to ICT Holdings $40 million in cash and (b) issued to ICT Holdings 1.9 million shares of our common stock. Contingent consideration payable following the Effective Date includes (i) a potential $30 million clinical milestone payment, up to $115 million upon achievement of certain late-stage regulatory milestones and up to $675 million in commercial sales milestones, (ii) up to an additional 1.85 million shares of our common stock upon achievement of certain clinical and regulatory milestones and (iii) tiered royalties ranging from mid-single digits up to 10% on annual net sales in the United States and low to mid-single-digit royalties on annual net sales in other countries within the licensed territory.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License Agreement, we also entered into a Registration Rights Agreement (the “2025 Registration Rights Agreement”) with ICT Holdings. Pursuant to the 2025 Registration Rights Agreement, we agreed to provide ICT Holdings certain registration rights in connection with the shares of our common stock issuable under the License Agreement, including to file shelf registration statements permitting the resale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2025 Registration Rights Agreement, we agreed to prepare and file, within 30 days after we notified ICT Holdings of achievement of the applicable clinical and regulatory milestones, one or more registration statements with the SEC to register for resale the shares of our common stock issued pursuant to the License Agreement, and generally to cause the applicable registration statements to promptly become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Offering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the selling stockholder </w:t>
            </w:r>
          </w:p>
        </w:tc>
        <w:tc>
          <w:tcPr>
            <w:tcW w:w="6326" w:type="dxa"/>
            <w:tcBorders/>
          </w:tcPr>
          <w:p>
            <w:pPr>
              <w:pStyle w:val="TableContents"/>
              <w:bidi w:val="0"/>
              <w:spacing w:before="0" w:after="283"/>
              <w:jc w:val="left"/>
              <w:rPr/>
            </w:pPr>
            <w:r>
              <w:rPr/>
              <w:t xml:space="preserve">1,100,000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Terms of the offering </w:t>
            </w:r>
          </w:p>
        </w:tc>
        <w:tc>
          <w:tcPr>
            <w:tcW w:w="6327" w:type="dxa"/>
            <w:tcBorders/>
          </w:tcPr>
          <w:p>
            <w:pPr>
              <w:pStyle w:val="TableContents"/>
              <w:bidi w:val="0"/>
              <w:spacing w:before="0" w:after="283"/>
              <w:jc w:val="left"/>
              <w:rPr/>
            </w:pPr>
            <w:r>
              <w:rPr/>
              <w:t>The selling stockholder, ICT Holdings, will determine when and how it will sell the common stock offered in this prospectus, as described in “</w:t>
            </w:r>
            <w:r>
              <w:rPr>
                <w:i/>
              </w:rPr>
              <w:t>Plan of Distribution</w:t>
            </w:r>
            <w:r>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are not selling any securities under this prospectus and will not receive any of the proceeds from the sale of shares of our common stock by the selling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9" w:type="dxa"/>
            <w:tcBorders/>
          </w:tcPr>
          <w:p>
            <w:pPr>
              <w:pStyle w:val="TableContents"/>
              <w:bidi w:val="0"/>
              <w:spacing w:before="0" w:after="283"/>
              <w:jc w:val="left"/>
              <w:rPr/>
            </w:pPr>
            <w:r>
              <w:rPr/>
              <w:t>See “</w:t>
            </w:r>
            <w:r>
              <w:rPr>
                <w:i/>
              </w:rPr>
              <w:t>Risk Factors</w:t>
            </w:r>
            <w:r>
              <w:rPr/>
              <w:t xml:space="preserve">” on page 4 for a discussion of factors you should carefully consider before deciding to invest in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Select Market symbol </w:t>
            </w:r>
          </w:p>
        </w:tc>
        <w:tc>
          <w:tcPr>
            <w:tcW w:w="6327" w:type="dxa"/>
            <w:tcBorders/>
          </w:tcPr>
          <w:p>
            <w:pPr>
              <w:pStyle w:val="TableContents"/>
              <w:bidi w:val="0"/>
              <w:spacing w:before="0" w:after="283"/>
              <w:jc w:val="left"/>
              <w:rPr/>
            </w:pPr>
            <w:r>
              <w:rPr/>
              <w:t xml:space="preserve">LYEL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named in this prospectus may offer and sell up to 1,100,000 shares of our common stock pursuant to this prospectus. Our common stock is currently listed on Nasdaq Global Select Market under the symbol “LYEL.” Shares of our common stock that may be offered under this prospectus are fully paid and non-assessable. We will not receive any of the proceeds of sales by the selling stockholder of any of the common stock covered by this prospectus. Throughout this prospectus, when we refer to the shares of our common stock being registered on behalf of the selling stockholder for offer and resale, we are referring to the shares of common stock that have been issued to the selling stockholder pursuant to the License Agreement. When we refer to the selling stockholder in this prospectus, we are referring to the selling stockholder identified in this prospectus and, as applicable, their permitted transferees or other successors-in-interest that may be identified in a supplement to this prospectus or, if required, a post-effective amendment to the registration statement of which this prospectus is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53160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Investing in our common stock involves a high degree of risk. Before making an investment decision, you should carefully consider the risks described in the sections titled “</w:t>
      </w:r>
      <w:r>
        <w:rPr>
          <w:rFonts w:ascii="Times New Roman" w:hAnsi="Times New Roman"/>
          <w:i/>
          <w:sz w:val="20"/>
        </w:rPr>
        <w:t>Risk Factors</w:t>
      </w:r>
      <w:r>
        <w:rPr>
          <w:rFonts w:ascii="Times New Roman" w:hAnsi="Times New Roman"/>
          <w:sz w:val="20"/>
        </w:rPr>
        <w:t>” in our most recent Annual Report on Form 10-K and subsequent Quarterly Reports on Form 10-Q, as filed with the SEC, which are incorporated herein by reference in their entirety, as well any amendment or updates to our risk factors reflected in subsequent filings with the SEC, including any applicable prospectus supplement. Our business, financial condition, results of operations or prospects could be materially adversely affected by any of these risks. The trading price of our securities could decline due to any of these risks, and you may lose all or part of your investment. This prospectus and the documents incorporated herein by reference also contain forward-looking statements that involve risks and uncertainties. Our actual results could differ materially from those anticipated in these forward-looking statements as a result of certain factors, including the risks mentioned elsewhere in this prospectus. For more information, see the section titled “</w:t>
      </w:r>
      <w:r>
        <w:rPr>
          <w:rFonts w:ascii="Times New Roman" w:hAnsi="Times New Roman"/>
          <w:i/>
          <w:sz w:val="20"/>
        </w:rPr>
        <w:t>Where You Can Find Additional Information</w:t>
      </w:r>
      <w:r>
        <w:rPr>
          <w:rFonts w:ascii="Times New Roman" w:hAnsi="Times New Roman"/>
          <w:sz w:val="20"/>
        </w:rPr>
        <w:t>.” Please also read carefully the section titled “</w:t>
      </w:r>
      <w:r>
        <w:rPr>
          <w:rFonts w:ascii="Times New Roman" w:hAnsi="Times New Roman"/>
          <w:i/>
          <w:sz w:val="20"/>
        </w:rPr>
        <w:t>Special Note Regarding Forward-Looking Statements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53160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All the shares of our common stock to be sold pursuant to this prospectus will be sold by ICT Holdings, as the selling stockholder. We will not receive any of the proceeds from the sale or other disposition of shares of our common stock held by the selling stockholder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and ICT Holdings, the selling stockholder, have agreed to each be responsible for 50% of the expenses incurred in registering the shares of our common stock offered pursuant to this prospectus, including certain legal and accounting fees. ICT Holdings will bear all underwriting discounts, selling commissions and similar fees and arrangements and stock transfer taxes allocable to its sales of the shares of our common stock and certain additional legal and advisor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53160_6"/>
      <w:bookmarkEnd w:id="8"/>
      <w:r>
        <w:rPr>
          <w:rFonts w:ascii="Times New Roman" w:hAnsi="Times New Roman"/>
          <w:b/>
          <w:sz w:val="20"/>
        </w:rPr>
        <w:t xml:space="preserve">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ICT Holdings, as the selling stockholder may sell some, all or none of its shares. We do not know how long the selling stockholder will hold the shares before selling them, and we currently have no agreements, arrangements or understandings with the selling stockholder regarding the sale or other disposition of any of the shares. The shares covered hereby may be offered from time to time by the selling stockholder. As a result, we cannot estimate the number of shares of common stock the selling stockholder will beneficially own after termination of sales under this prospectus. In addition, the selling stockholder may have sold, transferred or otherwise disposed of all or a portion of its shares of common stock since the date on which it provided information for the table below.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the table below and the footnotes thereto regarding shares of common stock to be beneficially owned after the offering assumes the sale of all shares being offered by the selling stockholder under this prospectus. This information has been obtained from the selling stockholder. The percentage of shares owned after the offering is based on 24,504,358 shares outstanding as of July 10, 2026.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403"/>
        <w:gridCol w:w="252"/>
        <w:gridCol w:w="85"/>
        <w:gridCol w:w="1493"/>
        <w:gridCol w:w="350"/>
        <w:gridCol w:w="168"/>
        <w:gridCol w:w="65"/>
        <w:gridCol w:w="1123"/>
        <w:gridCol w:w="60"/>
        <w:gridCol w:w="252"/>
        <w:gridCol w:w="68"/>
        <w:gridCol w:w="1203"/>
        <w:gridCol w:w="60"/>
        <w:gridCol w:w="252"/>
        <w:gridCol w:w="200"/>
        <w:gridCol w:w="1066"/>
        <w:gridCol w:w="288"/>
      </w:tblGrid>
      <w:tr>
        <w:trPr/>
        <w:tc>
          <w:tcPr>
            <w:tcW w:w="2403"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403"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578"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8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849" w:type="dxa"/>
            <w:gridSpan w:val="6"/>
            <w:tcBorders/>
            <w:vAlign w:val="bottom"/>
          </w:tcPr>
          <w:p>
            <w:pPr>
              <w:pStyle w:val="TableContents"/>
              <w:bidi w:val="0"/>
              <w:spacing w:before="0" w:after="283"/>
              <w:jc w:val="center"/>
              <w:rPr>
                <w:b/>
              </w:rPr>
            </w:pPr>
            <w:r>
              <w:rPr>
                <w:b/>
              </w:rPr>
              <w:t>After Offering</w:t>
            </w:r>
          </w:p>
        </w:tc>
        <w:tc>
          <w:tcPr>
            <w:tcW w:w="288" w:type="dxa"/>
            <w:tcBorders/>
            <w:vAlign w:val="bottom"/>
          </w:tcPr>
          <w:p>
            <w:pPr>
              <w:pStyle w:val="TableContents"/>
              <w:bidi w:val="0"/>
              <w:spacing w:before="0" w:after="283"/>
              <w:jc w:val="left"/>
              <w:rPr/>
            </w:pPr>
            <w:r>
              <w:rPr/>
              <w:t> </w:t>
            </w:r>
          </w:p>
        </w:tc>
      </w:tr>
      <w:tr>
        <w:trPr/>
        <w:tc>
          <w:tcPr>
            <w:tcW w:w="2403" w:type="dxa"/>
            <w:tcBorders/>
            <w:vAlign w:val="bottom"/>
          </w:tcPr>
          <w:p>
            <w:pPr>
              <w:pStyle w:val="TableContents"/>
              <w:bidi w:val="0"/>
              <w:spacing w:before="0" w:after="283"/>
              <w:jc w:val="left"/>
              <w:rPr>
                <w:b/>
              </w:rPr>
            </w:pPr>
            <w:r>
              <w:rPr>
                <w:b/>
              </w:rPr>
              <w:t>Name</w:t>
            </w:r>
          </w:p>
        </w:tc>
        <w:tc>
          <w:tcPr>
            <w:tcW w:w="252" w:type="dxa"/>
            <w:tcBorders/>
            <w:vAlign w:val="bottom"/>
          </w:tcPr>
          <w:p>
            <w:pPr>
              <w:pStyle w:val="TableContents"/>
              <w:bidi w:val="0"/>
              <w:spacing w:before="0" w:after="283"/>
              <w:jc w:val="left"/>
              <w:rPr/>
            </w:pPr>
            <w:r>
              <w:rPr/>
              <w:t>  </w:t>
            </w:r>
          </w:p>
        </w:tc>
        <w:tc>
          <w:tcPr>
            <w:tcW w:w="15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 Before</w:t>
              <w:br/>
              <w:t>Offering</w:t>
            </w:r>
          </w:p>
        </w:tc>
        <w:tc>
          <w:tcPr>
            <w:tcW w:w="35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Offered</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Owned(1)</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2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Shares</w:t>
              <w:br/>
              <w:t>Beneficially</w:t>
              <w:br/>
              <w:t>Owned</w:t>
            </w:r>
          </w:p>
        </w:tc>
        <w:tc>
          <w:tcPr>
            <w:tcW w:w="288" w:type="dxa"/>
            <w:tcBorders/>
            <w:vAlign w:val="bottom"/>
          </w:tcPr>
          <w:p>
            <w:pPr>
              <w:pStyle w:val="TableContents"/>
              <w:bidi w:val="0"/>
              <w:spacing w:before="0" w:after="283"/>
              <w:jc w:val="left"/>
              <w:rPr/>
            </w:pPr>
            <w:r>
              <w:rPr/>
              <w:t> </w:t>
            </w:r>
          </w:p>
        </w:tc>
      </w:tr>
      <w:tr>
        <w:trPr/>
        <w:tc>
          <w:tcPr>
            <w:tcW w:w="2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Innovative Cellular Therapeutics Holdings Limited</w:t>
            </w:r>
          </w:p>
        </w:tc>
        <w:tc>
          <w:tcPr>
            <w:tcW w:w="252"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2,857,500</w:t>
            </w:r>
          </w:p>
        </w:tc>
        <w:tc>
          <w:tcPr>
            <w:tcW w:w="350" w:type="dxa"/>
            <w:tcBorders/>
            <w:shd w:fill="CCEEFF" w:val="clear"/>
            <w:vAlign w:val="bottom"/>
          </w:tcPr>
          <w:p>
            <w:pPr>
              <w:pStyle w:val="TableContents"/>
              <w:bidi w:val="0"/>
              <w:spacing w:before="0" w:after="283"/>
              <w:jc w:val="left"/>
              <w:rPr/>
            </w:pPr>
            <w:r>
              <w:rPr/>
              <w:t>(2) </w:t>
            </w:r>
          </w:p>
        </w:tc>
        <w:tc>
          <w:tcPr>
            <w:tcW w:w="16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1,100,000</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1,757,500</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7.2</w:t>
            </w:r>
          </w:p>
        </w:tc>
        <w:tc>
          <w:tcPr>
            <w:tcW w:w="288"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sale of all shares available for sale under this prospectus and no further acquisitions or other dispositions of shares by the selling stockholder.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1,757,500 shares of common stock, which reflects 1,900,000 shares of common stock issued to Innovative Cellular Therapeutics Holdings Limited upon entering the License Agreement less 142,500 shares of common stock that were transferred by Innovative Cellular Therapeutics Holding to certain third parties, and (ii) 1,100,000 shares of common stock issued to Innovative Cellular Therapeutics Holdings Limited pursuant to the License Agreement upon the achievement of certain clinical and regulatory milestones. Lei Xiao, as the Chief Executive Officer of Innovative Cellular Therapeutics Holdings Limited, has voting and dispositive power over these shares.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Relationship with Selling Stockholder </w:t>
      </w:r>
    </w:p>
    <w:p>
      <w:pPr>
        <w:pStyle w:val="TextBody"/>
        <w:bidi w:val="0"/>
        <w:spacing w:before="120" w:after="0"/>
        <w:jc w:val="left"/>
        <w:rPr>
          <w:rFonts w:ascii="Times New Roman" w:hAnsi="Times New Roman"/>
          <w:sz w:val="20"/>
        </w:rPr>
      </w:pPr>
      <w:r>
        <w:rPr>
          <w:rFonts w:ascii="Times New Roman" w:hAnsi="Times New Roman"/>
          <w:sz w:val="20"/>
        </w:rPr>
        <w:t>As discussed in greater detail above under the section titled “</w:t>
      </w:r>
      <w:r>
        <w:rPr>
          <w:rFonts w:ascii="Times New Roman" w:hAnsi="Times New Roman"/>
          <w:i/>
          <w:sz w:val="20"/>
        </w:rPr>
        <w:t>Prospectus Summary—License Agreement and Registration Rights Agreement</w:t>
      </w:r>
      <w:r>
        <w:rPr>
          <w:rFonts w:ascii="Times New Roman" w:hAnsi="Times New Roman"/>
          <w:sz w:val="20"/>
        </w:rPr>
        <w:t xml:space="preserve">,” on November 6, 2025, we entered into the License Agreement with ICT Group pursuant to which we sold and issued shares of common stock and entered into the 2025 Registration Rights Agreement, pursuant to which we agreed with the ICT Holdings, as selling stockholder, to file a registration statement to enable the resale of the shares of common stock covered by this prospectus. None of the selling stockholder or any persons having control over such selling stockholder has held any position or office with us or our affiliates within the last three years or has had a material relationship with us or any of our predecessors or affiliates within the past three years, other than as a result of the ownership of our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53160_7"/>
      <w:bookmarkEnd w:id="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for resale by ICT Holdings, as the selling stockholder, up to 1,100,000 shares of common stock. The selling stockholder, which as used herein includes donees, pledgees, transferees, distributees or other successors-in-interest selling shares of our common stock or interests in our common stock received after the date of this prospectus from the selling stockholder as a gift, pledge, partnership distribution or other transfer may, from time to time, sell, transfer, distribute or otherwise dispose of certain of their shares of common stock or interests in our common stock on any stock exchange, market or trading facility on which shares of our common stock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use any one or more of the following methods when disposing of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underwritten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own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their employees, partners, members or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effected after the date of the registration statement of which this prospectus is a part is declared effective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in-market transactions, including transactions on a national securities exchange or quotations service or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agreements between broker-dealers and the selling stockholder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by applicable law.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selling stockholder may, from time to time, pledge or grant a security interest in some or all of the shares of our common stock owned by it and, if the selling stockholder defaults in the performance of its secured obligations, the pledgees or secured parties may offer and sell such shares of common stock from time to time, under this prospectus, or under an amendment or supplement to this prospectus to include the pledgee, transferee or other successors in interest as the selling stockholder under this prospectus. The selling stockholder also may transfer shares of our common stock in other circumstances, in which case the transferees, pledgees or other successors in interest will be the selling beneficial owners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shares of our common stock or interests therein, the selling stockholder may enter into hedging transactions with broker-dealers or other financial institutions, which may in turn engage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short sales of our common stock in the course of hedging the positions they assume. The selling stockholder may also sell shares of our common stock short and deliver these securities to close out its short positions, or loan or pledge shares of our common stock to broker-dealers that in turn may sell these securities. The selling stockholder may also enter into option or other transactions with broker-dealers or other financial institutions or the creation of one or more derivative securities that require the delivery to such broker-dealer or other financial institution of shares of our common stock offered by this prospectus, which shares such broker-dealer or other financial institution may resell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proceeds to the selling stockholder from the sale of shares of our common stock offered by it will be the purchase price of such shares of our common stock less discounts or commissions, if any. The selling stockholder reserves the right to accept and, together with its agents from time to time, to reject, in whole or in part, any proposed purchase of shares of our common stock to be made directly or through agents. We will not receive any of the proceeds from any offering by 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At the time a particular offering of securities is made, a prospectus supplement, if required, will be distributed, which will set forth the name of the selling stockholder, the aggregate amount of securities being offered and the terms of the offering, including, to the extent required, (1) the name or names of any underwriters, broker-dealers or agents, (2) any discounts, commissions and other terms constituting compensation from the selling stockholder and (3) any discounts, commissions or concessions allowed or reallowed to be paid to broker-dealers. We may suspend the sale of securities by the selling stockholder pursuant to this prospectus for certain periods of time for certain reasons, including if the prospectus is required to be supplemented or amended to include additional material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also may in the future resell all or a portion of the shares of our common stock in open market transactions, rather than under this prospectus, in reliance upon Rule 144 under the Securities Act, provided that they meet the criteria and conform to the requirements of that rule, or pursuant to other available exemptions from the registration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and any underwriters, broker-dealers or agents that participate in the sale of shares of our common stock or interests therein may be “underwriters” within the meaning of Section 2(11) of the Securities Act. Any discounts, commissions, concessions or profit they earn on any resale of shares of our common stock or warrants may be underwriting discounts and commissions under the Securities Act. If the selling stockholder is an “underwriter” within the meaning of Section 2(11) of the Securities Act, then the selling stockholder will be subject to the prospectus delivery requirements of the Securities Act. Underwriters and their controlling persons, dealers and agents may be entitled, under agreements entered into with us and the selling stockholder, to indemnification against and contribution toward specific civil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shares of our common stock to be sold, the purchase prices and public offering prices,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To facilitate the offering of shares of our common stock offered by the selling stockholder, certain persons participating in the offering may engage in transactions that stabilize, maintain or otherwise affect the price of our common stock. This may include over-allotments or short sales, which involve the sale by persons participating in the offering of more shares of common stock than were sold to them. In these circumstances, these persons would cover such over-allotments or short positions by making purchases in the open market or by exercising their over-allotment option, if any. In addition, these persons may stabilize or maintain the price of our common stock by bidding for or purchasing shares of common stock in the open market or by imposing penalty bids, whereby selling concessions allowed to dealers participating in the offering may be reclaimed if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stock sold by them are repurchased in connection with stabilization transactions. The effect of these transactions may be to stabilize or maintain the market price of our common stock at a level above that which might otherwise prevail in the open market. These transactions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Under the 2025 Registration Rights Agreement, we have agreed to indemnify the selling stockholder against certain liabilities that they may incur in connection with the sale of the securities registered hereunder, including liabilities under the Securities Act. In addition, we and the selling stockholder may agree to indemnify any underwriter, broker-dealer or agent against certain liabilities related to the selling of the securities,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Under the 2025 Registration Rights Agreement, we have agreed to maintain the effectiveness of this registration statement until all securities covered by the 2025 Registration Rights Agreement have been sold under this registration statement, have been transferred without restrictive legends, may be sold under Rule 144 of the Securities Act or are no longer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use this prospectus in connection with resales of shares of our common stock. This prospectus and any accompanying prospectus supplement will identify the selling stockholder, the terms of our common stock and any material relationships between us and the selling stockholder. The selling stockholder may be deemed to be underwriters under the Securities Act in connection with shares of our common stock they resell and any profits on the sales may be deemed to be underwriting discounts and commissions under the Securities Act. Unless otherwise set forth in a prospectus supplement, the selling stockholder will receive all of the net proceeds from the resale of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elect to make an in-kind distribution of common stock to its shareholders pursuant to the registration statement of which this prospectus is a part by delivering a prospectus. To the extent that such shareholders are not affiliates of ours, such shareholders would thereby receive freely tradable shares of common stock pursuant to the distribution through a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and ICT Holdings have agreed to each be responsible for 50% of the expenses incurred in the registration of shares of our common stock to be offered and sold pursuant to this prospectus, including certain legal and accounting expenses. ICT Holdings will bear all underwriting discounts, selling commissions and similar fees and arrangements and stock transfer taxes allocable to its sales of the shares of our common stock and certain additional legal and advisor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53160_8"/>
      <w:bookmarkEnd w:id="1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consolidated financial statements included in our Annual Report on Form 10-K for the year ended December 31, 2025,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 </w:t>
      </w:r>
    </w:p>
    <w:p>
      <w:pPr>
        <w:pStyle w:val="TextBody"/>
        <w:bidi w:val="0"/>
        <w:spacing w:before="480" w:after="0"/>
        <w:jc w:val="center"/>
        <w:rPr>
          <w:rFonts w:ascii="Times New Roman" w:hAnsi="Times New Roman"/>
          <w:b/>
          <w:sz w:val="20"/>
        </w:rPr>
      </w:pPr>
      <w:bookmarkStart w:id="11" w:name="toc53160_9"/>
      <w:bookmarkEnd w:id="1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Cooley LLP will pass upon the validity of the shares of common stock offered pursuant to this prospectus. </w:t>
      </w:r>
    </w:p>
    <w:p>
      <w:pPr>
        <w:pStyle w:val="TextBody"/>
        <w:bidi w:val="0"/>
        <w:spacing w:before="480" w:after="0"/>
        <w:jc w:val="center"/>
        <w:rPr>
          <w:rFonts w:ascii="Times New Roman" w:hAnsi="Times New Roman"/>
          <w:b/>
          <w:sz w:val="20"/>
        </w:rPr>
      </w:pPr>
      <w:bookmarkStart w:id="12" w:name="toc53160_10"/>
      <w:bookmarkEnd w:id="12"/>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must comply with the informational requirements of the Exchange Act, and we are required to file reports and proxy statements and other information with the SEC. You may read and copy these reports, proxy statements and other information on the SEC’s website at http://www.sec.gov, which contains reports, proxy and information statements and other information regarding issuers like us that file electronically with the SEC. We maintain a website at www.lyell.com. The information contained in, or that can be accessed through, our website is not incorporated by reference herein and is not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Statements contained in this prospectus as to the contents of any contract or other document are not necessarily complete, and in each instance we refer you to the copy of the contract or document filed as an exhibit to the registration statement, each such statement being qualified in all respects by such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53160_11"/>
      <w:bookmarkEnd w:id="13"/>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that we file with it, which means that we can disclose important information to you by referring you to those documents. The information incorporated by reference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also incorporate by reference into this prospectus the documents listed below and any future filings made by us with the SEC (in each case, other than current reports or portions thereof furnished under Item 2.02 or Item 7.01 of Form 8-K and exhibits filed on such form that are related to such items and other portions of documents that are furnished, but not filed, or are otherwise not incorporated into registration statements pursuant to applicable rules promulgated by the SEC) that are filed by us with the SEC pursuant to Sections 13(a), 13(c), 14 or 15(d) of the Exchange Act (i) after the date of the initial filing of the registration statement of which this prospectus is a part and prior to effectiveness of the registration statement, and (ii) after the effectiveness of the registration statement but prior to the termination of the offering of the securities covered by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12,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2025 from 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with the SEC on April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Form 10-Q for the quarter ended March 31, 2026, filed with the SEC on </w:t>
            </w:r>
            <w:hyperlink r:id="rId5">
              <w:r>
                <w:rPr>
                  <w:rStyle w:val="InternetLink"/>
                  <w:rFonts w:ascii="Times New Roman" w:hAnsi="Times New Roman"/>
                  <w:sz w:val="20"/>
                </w:rPr>
                <w:t>May 6,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6">
              <w:r>
                <w:rPr>
                  <w:rStyle w:val="InternetLink"/>
                  <w:rFonts w:ascii="Times New Roman" w:hAnsi="Times New Roman"/>
                  <w:sz w:val="20"/>
                </w:rPr>
                <w:t>March  9, 2026</w:t>
              </w:r>
            </w:hyperlink>
            <w:r>
              <w:rPr>
                <w:rFonts w:ascii="Times New Roman" w:hAnsi="Times New Roman"/>
                <w:sz w:val="20"/>
              </w:rPr>
              <w:t xml:space="preserve"> and </w:t>
            </w:r>
            <w:hyperlink r:id="rId7">
              <w:r>
                <w:rPr>
                  <w:rStyle w:val="InternetLink"/>
                  <w:rFonts w:ascii="Times New Roman" w:hAnsi="Times New Roman"/>
                  <w:sz w:val="20"/>
                </w:rPr>
                <w:t>June 15,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filed as </w:t>
            </w:r>
            <w:hyperlink r:id="rId8">
              <w:r>
                <w:rPr>
                  <w:rStyle w:val="InternetLink"/>
                  <w:rFonts w:ascii="Times New Roman" w:hAnsi="Times New Roman"/>
                  <w:sz w:val="20"/>
                </w:rPr>
                <w:t>Exhibit 4.3</w:t>
              </w:r>
            </w:hyperlink>
            <w:r>
              <w:rPr>
                <w:rFonts w:ascii="Times New Roman" w:hAnsi="Times New Roman"/>
                <w:sz w:val="20"/>
              </w:rPr>
              <w:t xml:space="preserve"> to our Annual Report on Form 10-K for the year ended December 31, 2022, filed with the SEC on February 28,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furnish without charge to each person, including any beneficial owner, to whom this prospectus is delivered, upon written or oral request, a copy of any document incorporated by reference at no cost. Requests should be addressed to 201 Haskins Way, South San Francisco, CA 94080, Attn: Chief Financial Officer or may be made telephonically at (650) 695-0677.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statement of the estimated expenses to be incurred by us in connection with the registration of the securities under this registration statement, which will be borne 50% by us and 50% by ICT Holdings. All the amounts shown are estimates, except for the SEC registration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34"/>
        <w:gridCol w:w="464"/>
        <w:gridCol w:w="140"/>
        <w:gridCol w:w="838"/>
        <w:gridCol w:w="63"/>
      </w:tblGrid>
      <w:tr>
        <w:trPr/>
        <w:tc>
          <w:tcPr>
            <w:tcW w:w="5434"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34" w:type="dxa"/>
            <w:tcBorders/>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8" w:type="dxa"/>
            <w:tcBorders/>
            <w:vAlign w:val="bottom"/>
          </w:tcPr>
          <w:p>
            <w:pPr>
              <w:pStyle w:val="TableContents"/>
              <w:bidi w:val="0"/>
              <w:spacing w:before="0" w:after="283"/>
              <w:jc w:val="right"/>
              <w:rPr/>
            </w:pPr>
            <w:r>
              <w:rPr/>
              <w:t>2,223</w:t>
            </w:r>
          </w:p>
        </w:tc>
        <w:tc>
          <w:tcPr>
            <w:tcW w:w="63" w:type="dxa"/>
            <w:tcBorders/>
            <w:vAlign w:val="bottom"/>
          </w:tcPr>
          <w:p>
            <w:pPr>
              <w:pStyle w:val="TableContents"/>
              <w:bidi w:val="0"/>
              <w:spacing w:before="0" w:after="283"/>
              <w:jc w:val="left"/>
              <w:rPr/>
            </w:pPr>
            <w:r>
              <w:rPr/>
              <w:t> </w:t>
            </w:r>
          </w:p>
        </w:tc>
      </w:tr>
      <w:tr>
        <w:trPr/>
        <w:tc>
          <w:tcPr>
            <w:tcW w:w="5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8" w:type="dxa"/>
            <w:tcBorders/>
            <w:shd w:fill="CCEEFF" w:val="clear"/>
            <w:vAlign w:val="bottom"/>
          </w:tcPr>
          <w:p>
            <w:pPr>
              <w:pStyle w:val="TableContents"/>
              <w:bidi w:val="0"/>
              <w:spacing w:before="0" w:after="283"/>
              <w:jc w:val="right"/>
              <w:rPr/>
            </w:pPr>
            <w:r>
              <w:rPr/>
              <w:t> </w:t>
            </w:r>
            <w:r>
              <w:rPr/>
              <w:t>20,000</w:t>
            </w:r>
          </w:p>
        </w:tc>
        <w:tc>
          <w:tcPr>
            <w:tcW w:w="63" w:type="dxa"/>
            <w:tcBorders/>
            <w:shd w:fill="CCEEFF" w:val="clear"/>
            <w:vAlign w:val="bottom"/>
          </w:tcPr>
          <w:p>
            <w:pPr>
              <w:pStyle w:val="TableContents"/>
              <w:bidi w:val="0"/>
              <w:spacing w:before="0" w:after="283"/>
              <w:jc w:val="left"/>
              <w:rPr/>
            </w:pPr>
            <w:r>
              <w:rPr/>
              <w:t> </w:t>
            </w:r>
          </w:p>
        </w:tc>
      </w:tr>
      <w:tr>
        <w:trPr/>
        <w:tc>
          <w:tcPr>
            <w:tcW w:w="5434"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8" w:type="dxa"/>
            <w:tcBorders/>
            <w:vAlign w:val="bottom"/>
          </w:tcPr>
          <w:p>
            <w:pPr>
              <w:pStyle w:val="TableContents"/>
              <w:bidi w:val="0"/>
              <w:spacing w:before="0" w:after="283"/>
              <w:jc w:val="right"/>
              <w:rPr/>
            </w:pPr>
            <w:r>
              <w:rPr/>
              <w:t>18,500</w:t>
            </w:r>
          </w:p>
        </w:tc>
        <w:tc>
          <w:tcPr>
            <w:tcW w:w="63" w:type="dxa"/>
            <w:tcBorders/>
            <w:vAlign w:val="bottom"/>
          </w:tcPr>
          <w:p>
            <w:pPr>
              <w:pStyle w:val="TableContents"/>
              <w:bidi w:val="0"/>
              <w:spacing w:before="0" w:after="283"/>
              <w:jc w:val="left"/>
              <w:rPr/>
            </w:pPr>
            <w:r>
              <w:rPr/>
              <w:t> </w:t>
            </w:r>
          </w:p>
        </w:tc>
      </w:tr>
      <w:tr>
        <w:trPr/>
        <w:tc>
          <w:tcPr>
            <w:tcW w:w="5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4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8" w:type="dxa"/>
            <w:tcBorders/>
            <w:shd w:fill="CCEEFF" w:val="clear"/>
            <w:vAlign w:val="bottom"/>
          </w:tcPr>
          <w:p>
            <w:pPr>
              <w:pStyle w:val="TableContents"/>
              <w:bidi w:val="0"/>
              <w:spacing w:before="0" w:after="283"/>
              <w:jc w:val="right"/>
              <w:rPr/>
            </w:pPr>
            <w:r>
              <w:rPr/>
              <w:t>4,277</w:t>
            </w:r>
          </w:p>
        </w:tc>
        <w:tc>
          <w:tcPr>
            <w:tcW w:w="63" w:type="dxa"/>
            <w:tcBorders/>
            <w:shd w:fill="CCEEFF" w:val="clear"/>
            <w:vAlign w:val="bottom"/>
          </w:tcPr>
          <w:p>
            <w:pPr>
              <w:pStyle w:val="TableContents"/>
              <w:bidi w:val="0"/>
              <w:spacing w:before="0" w:after="283"/>
              <w:jc w:val="left"/>
              <w:rPr/>
            </w:pPr>
            <w:r>
              <w:rPr/>
              <w:t> </w:t>
            </w:r>
          </w:p>
        </w:tc>
      </w:tr>
      <w:tr>
        <w:trPr/>
        <w:tc>
          <w:tcPr>
            <w:tcW w:w="5434"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8" w:type="dxa"/>
            <w:tcBorders/>
            <w:vAlign w:val="bottom"/>
          </w:tcPr>
          <w:p>
            <w:pPr>
              <w:pStyle w:val="TableContents"/>
              <w:bidi w:val="0"/>
              <w:spacing w:before="0" w:after="283"/>
              <w:jc w:val="right"/>
              <w:rPr/>
            </w:pPr>
            <w:r>
              <w:rPr/>
              <w:t>45,000</w:t>
            </w:r>
          </w:p>
        </w:tc>
        <w:tc>
          <w:tcPr>
            <w:tcW w:w="63"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Delaware General Corporation Law, authorizes a court to award, or a corporation’s board of directors to grant, indemnity to directors and executive officers in terms sufficiently broad to permit such indemnification under certain circumstances for liabilities, including reimbursement for expenses incurred, arising under the Securities Act. Our certificate of incorporation permits indemnification of our directors, officers, employees and other agents to the maximum extent permitted by the Delaware General Corporation Law, and our bylaws provide that we will indemnify our directors and executive officers and permit us to indemnify our employees and other agents, in each case to the maximum extent permitted by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our directors and executive officers, whereby we have agreed to indemnify our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a director, executive officer, employee, or agent of ours, provided that such director or executive officer acted in good faith and in a manner that the director or executive officer reasonably believed to be in, or not opposed to, our best interest. </w:t>
      </w:r>
    </w:p>
    <w:p>
      <w:pPr>
        <w:pStyle w:val="TextBody"/>
        <w:bidi w:val="0"/>
        <w:spacing w:before="240" w:after="0"/>
        <w:jc w:val="left"/>
        <w:rPr>
          <w:rFonts w:ascii="Times New Roman" w:hAnsi="Times New Roman"/>
          <w:sz w:val="20"/>
        </w:rPr>
      </w:pPr>
      <w:r>
        <w:rPr>
          <w:rFonts w:ascii="Times New Roman" w:hAnsi="Times New Roman"/>
          <w:sz w:val="20"/>
        </w:rPr>
        <w:t xml:space="preserve">At present, there is no pending litigation or proceeding involving a director or executive officer of ours regarding which indemnification is sought, nor is the registrant aware of any threatened litigation that may result in claims for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We maintain insurance policies that indemnify our directors and officers against various liabilities arising under the Securities Act and the Exchange Act, that might be incurred by any director or officer in his capacity as such. 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 </w:t>
      </w:r>
    </w:p>
    <w:p>
      <w:pPr>
        <w:pStyle w:val="TextBody"/>
        <w:bidi w:val="0"/>
        <w:spacing w:before="240" w:after="0"/>
        <w:jc w:val="left"/>
        <w:rPr>
          <w:rFonts w:ascii="Times New Roman" w:hAnsi="Times New Roman"/>
          <w:sz w:val="20"/>
        </w:rPr>
      </w:pPr>
      <w:r>
        <w:rPr>
          <w:rFonts w:ascii="Times New Roman" w:hAnsi="Times New Roman"/>
          <w:sz w:val="20"/>
        </w:rPr>
        <w:t xml:space="preserve">The indemnification agreements also set forth certain procedures, presumptions and remedies that will apply in the event of a claim for indemnification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16. Exhibit Index. </w:t>
      </w:r>
    </w:p>
    <w:p>
      <w:pPr>
        <w:pStyle w:val="TextBody"/>
        <w:bidi w:val="0"/>
        <w:spacing w:before="24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
        <w:gridCol w:w="181"/>
        <w:gridCol w:w="2376"/>
        <w:gridCol w:w="156"/>
        <w:gridCol w:w="89"/>
        <w:gridCol w:w="520"/>
        <w:gridCol w:w="60"/>
        <w:gridCol w:w="156"/>
        <w:gridCol w:w="60"/>
        <w:gridCol w:w="924"/>
        <w:gridCol w:w="60"/>
        <w:gridCol w:w="156"/>
        <w:gridCol w:w="169"/>
        <w:gridCol w:w="928"/>
        <w:gridCol w:w="60"/>
        <w:gridCol w:w="156"/>
        <w:gridCol w:w="60"/>
        <w:gridCol w:w="1877"/>
        <w:gridCol w:w="60"/>
        <w:gridCol w:w="156"/>
        <w:gridCol w:w="222"/>
        <w:gridCol w:w="785"/>
        <w:gridCol w:w="68"/>
      </w:tblGrid>
      <w:tr>
        <w:trPr/>
        <w:tc>
          <w:tcPr>
            <w:tcW w:w="926"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92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37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498"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Incorporation by Reference</w:t>
            </w:r>
          </w:p>
        </w:tc>
        <w:tc>
          <w:tcPr>
            <w:tcW w:w="68" w:type="dxa"/>
            <w:tcBorders/>
            <w:vAlign w:val="bottom"/>
          </w:tcPr>
          <w:p>
            <w:pPr>
              <w:pStyle w:val="TableContents"/>
              <w:bidi w:val="0"/>
              <w:spacing w:before="0" w:after="283"/>
              <w:jc w:val="left"/>
              <w:rPr/>
            </w:pPr>
            <w:r>
              <w:rPr/>
              <w:t> </w:t>
            </w:r>
          </w:p>
        </w:tc>
      </w:tr>
      <w:tr>
        <w:trPr/>
        <w:tc>
          <w:tcPr>
            <w:tcW w:w="926"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181" w:type="dxa"/>
            <w:tcBorders/>
            <w:vAlign w:val="bottom"/>
          </w:tcPr>
          <w:p>
            <w:pPr>
              <w:pStyle w:val="TableContents"/>
              <w:bidi w:val="0"/>
              <w:spacing w:before="0" w:after="283"/>
              <w:jc w:val="left"/>
              <w:rPr/>
            </w:pPr>
            <w:r>
              <w:rPr/>
              <w:t>  </w:t>
            </w:r>
          </w:p>
        </w:tc>
        <w:tc>
          <w:tcPr>
            <w:tcW w:w="23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Exhibit Description</w:t>
            </w:r>
          </w:p>
        </w:tc>
        <w:tc>
          <w:tcPr>
            <w:tcW w:w="156" w:type="dxa"/>
            <w:tcBorders/>
            <w:vAlign w:val="bottom"/>
          </w:tcPr>
          <w:p>
            <w:pPr>
              <w:pStyle w:val="TableContents"/>
              <w:bidi w:val="0"/>
              <w:spacing w:before="0" w:after="283"/>
              <w:jc w:val="left"/>
              <w:rPr/>
            </w:pPr>
            <w:r>
              <w:rPr/>
              <w:t>  </w:t>
            </w:r>
          </w:p>
        </w:tc>
        <w:tc>
          <w:tcPr>
            <w:tcW w:w="6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4" w:type="dxa"/>
            <w:gridSpan w:val="2"/>
            <w:tcBorders>
              <w:bottom w:val="single" w:sz="8" w:space="0" w:color="000000"/>
            </w:tcBorders>
            <w:tcMar>
              <w:bottom w:w="28" w:type="dxa"/>
            </w:tcMar>
            <w:vAlign w:val="bottom"/>
          </w:tcPr>
          <w:p>
            <w:pPr>
              <w:pStyle w:val="TableContents"/>
              <w:bidi w:val="0"/>
              <w:spacing w:before="0" w:after="283"/>
              <w:jc w:val="center"/>
              <w:rPr/>
            </w:pPr>
            <w:r>
              <w:rPr>
                <w:b/>
              </w:rPr>
              <w:t>File</w:t>
            </w:r>
            <w:r>
              <w:rPr/>
              <w:br/>
            </w:r>
            <w:r>
              <w:rPr>
                <w:b/>
              </w:rPr>
              <w:t>Number</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Exhibit/</w:t>
              <w:br/>
              <w:t>Appendix</w:t>
              <w:br/>
              <w:t>Reference</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9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Filed</w:t>
              <w:br/>
              <w:t>Herewith</w:t>
            </w:r>
          </w:p>
        </w:tc>
        <w:tc>
          <w:tcPr>
            <w:tcW w:w="68" w:type="dxa"/>
            <w:tcBorders/>
            <w:vAlign w:val="bottom"/>
          </w:tcPr>
          <w:p>
            <w:pPr>
              <w:pStyle w:val="TableContents"/>
              <w:bidi w:val="0"/>
              <w:spacing w:before="0" w:after="283"/>
              <w:jc w:val="left"/>
              <w:rPr/>
            </w:pPr>
            <w:r>
              <w:rPr/>
              <w:t> </w:t>
            </w:r>
          </w:p>
        </w:tc>
      </w:tr>
      <w:tr>
        <w:trPr>
          <w:trHeight w:val="120" w:hRule="atLeast"/>
        </w:trPr>
        <w:tc>
          <w:tcPr>
            <w:tcW w:w="926" w:type="dxa"/>
            <w:tcBorders/>
            <w:vAlign w:val="center"/>
          </w:tcPr>
          <w:p>
            <w:pPr>
              <w:pStyle w:val="TableContents"/>
              <w:bidi w:val="0"/>
              <w:spacing w:before="0" w:after="283"/>
              <w:jc w:val="left"/>
              <w:rPr>
                <w:sz w:val="4"/>
                <w:szCs w:val="4"/>
              </w:rPr>
            </w:pPr>
            <w:r>
              <w:rPr>
                <w:sz w:val="4"/>
                <w:szCs w:val="4"/>
              </w:rPr>
            </w:r>
          </w:p>
        </w:tc>
        <w:tc>
          <w:tcPr>
            <w:tcW w:w="2557" w:type="dxa"/>
            <w:gridSpan w:val="2"/>
            <w:tcBorders/>
            <w:vAlign w:val="center"/>
          </w:tcPr>
          <w:p>
            <w:pPr>
              <w:pStyle w:val="TableContents"/>
              <w:bidi w:val="0"/>
              <w:spacing w:before="0" w:after="283"/>
              <w:jc w:val="left"/>
              <w:rPr>
                <w:sz w:val="4"/>
                <w:szCs w:val="4"/>
              </w:rPr>
            </w:pPr>
            <w:r>
              <w:rPr>
                <w:sz w:val="4"/>
                <w:szCs w:val="4"/>
              </w:rPr>
            </w:r>
          </w:p>
        </w:tc>
        <w:tc>
          <w:tcPr>
            <w:tcW w:w="825" w:type="dxa"/>
            <w:gridSpan w:val="4"/>
            <w:tcBorders/>
            <w:vAlign w:val="center"/>
          </w:tcPr>
          <w:p>
            <w:pPr>
              <w:pStyle w:val="TableContents"/>
              <w:bidi w:val="0"/>
              <w:spacing w:before="0" w:after="283"/>
              <w:jc w:val="left"/>
              <w:rPr>
                <w:sz w:val="4"/>
                <w:szCs w:val="4"/>
              </w:rPr>
            </w:pPr>
            <w:r>
              <w:rPr>
                <w:sz w:val="4"/>
                <w:szCs w:val="4"/>
              </w:rPr>
            </w:r>
          </w:p>
        </w:tc>
        <w:tc>
          <w:tcPr>
            <w:tcW w:w="1200" w:type="dxa"/>
            <w:gridSpan w:val="4"/>
            <w:tcBorders/>
            <w:vAlign w:val="center"/>
          </w:tcPr>
          <w:p>
            <w:pPr>
              <w:pStyle w:val="TableContents"/>
              <w:bidi w:val="0"/>
              <w:spacing w:before="0" w:after="283"/>
              <w:jc w:val="left"/>
              <w:rPr>
                <w:sz w:val="4"/>
                <w:szCs w:val="4"/>
              </w:rPr>
            </w:pPr>
            <w:r>
              <w:rPr>
                <w:sz w:val="4"/>
                <w:szCs w:val="4"/>
              </w:rPr>
            </w:r>
          </w:p>
        </w:tc>
        <w:tc>
          <w:tcPr>
            <w:tcW w:w="1313" w:type="dxa"/>
            <w:gridSpan w:val="4"/>
            <w:tcBorders/>
            <w:vAlign w:val="center"/>
          </w:tcPr>
          <w:p>
            <w:pPr>
              <w:pStyle w:val="TableContents"/>
              <w:bidi w:val="0"/>
              <w:spacing w:before="0" w:after="283"/>
              <w:jc w:val="left"/>
              <w:rPr>
                <w:sz w:val="4"/>
                <w:szCs w:val="4"/>
              </w:rPr>
            </w:pPr>
            <w:r>
              <w:rPr>
                <w:sz w:val="4"/>
                <w:szCs w:val="4"/>
              </w:rPr>
            </w:r>
          </w:p>
        </w:tc>
        <w:tc>
          <w:tcPr>
            <w:tcW w:w="2153" w:type="dxa"/>
            <w:gridSpan w:val="4"/>
            <w:tcBorders/>
            <w:vAlign w:val="center"/>
          </w:tcPr>
          <w:p>
            <w:pPr>
              <w:pStyle w:val="TableContents"/>
              <w:bidi w:val="0"/>
              <w:spacing w:before="0" w:after="283"/>
              <w:jc w:val="left"/>
              <w:rPr>
                <w:sz w:val="4"/>
                <w:szCs w:val="4"/>
              </w:rPr>
            </w:pPr>
            <w:r>
              <w:rPr>
                <w:sz w:val="4"/>
                <w:szCs w:val="4"/>
              </w:rPr>
            </w:r>
          </w:p>
        </w:tc>
        <w:tc>
          <w:tcPr>
            <w:tcW w:w="1231" w:type="dxa"/>
            <w:gridSpan w:val="4"/>
            <w:tcBorders/>
            <w:vAlign w:val="cente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r>
              <w:rPr/>
              <w:t>2.1*</w:t>
            </w:r>
          </w:p>
        </w:tc>
        <w:tc>
          <w:tcPr>
            <w:tcW w:w="181" w:type="dxa"/>
            <w:tcBorders/>
            <w:vAlign w:val="bottom"/>
          </w:tcPr>
          <w:p>
            <w:pPr>
              <w:pStyle w:val="TableContents"/>
              <w:bidi w:val="0"/>
              <w:spacing w:before="0" w:after="283"/>
              <w:jc w:val="left"/>
              <w:rPr/>
            </w:pPr>
            <w:r>
              <w:rPr/>
              <w:t>  </w:t>
            </w:r>
          </w:p>
        </w:tc>
        <w:tc>
          <w:tcPr>
            <w:tcW w:w="2376" w:type="dxa"/>
            <w:tcBorders/>
          </w:tcPr>
          <w:p>
            <w:pPr>
              <w:pStyle w:val="TableContents"/>
              <w:bidi w:val="0"/>
              <w:spacing w:before="0" w:after="283"/>
              <w:jc w:val="left"/>
              <w:rPr/>
            </w:pPr>
            <w:hyperlink r:id="rId9">
              <w:r>
                <w:rPr>
                  <w:rStyle w:val="InternetLink"/>
                </w:rPr>
                <w:t xml:space="preserve">Agreement and Plan of Merger, dated as of October  24, 2024, by and among ImmPACT Bio USA Inc., Lyell Immunopharma, Inc., Inspire Merger Sub Inc. and WT Representative LLC, solely in its capacity as the Representative </w:t>
              </w:r>
            </w:hyperlink>
          </w:p>
        </w:tc>
        <w:tc>
          <w:tcPr>
            <w:tcW w:w="156"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520"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24" w:type="dxa"/>
            <w:tcBorders/>
          </w:tcPr>
          <w:p>
            <w:pPr>
              <w:pStyle w:val="TableContents"/>
              <w:bidi w:val="0"/>
              <w:spacing w:before="0" w:after="283"/>
              <w:jc w:val="right"/>
              <w:rPr/>
            </w:pPr>
            <w:r>
              <w:rPr/>
              <w:t>001-40502</w:t>
            </w:r>
          </w:p>
        </w:tc>
        <w:tc>
          <w:tcPr>
            <w:tcW w:w="60" w:type="dxa"/>
            <w:tcBorders/>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9" w:type="dxa"/>
            <w:tcBorders/>
          </w:tcPr>
          <w:p>
            <w:pPr>
              <w:pStyle w:val="TableContents"/>
              <w:bidi w:val="0"/>
              <w:spacing w:before="0" w:after="283"/>
              <w:jc w:val="left"/>
              <w:rPr/>
            </w:pPr>
            <w:r>
              <w:rPr/>
              <w:t> </w:t>
            </w:r>
          </w:p>
        </w:tc>
        <w:tc>
          <w:tcPr>
            <w:tcW w:w="928" w:type="dxa"/>
            <w:tcBorders/>
          </w:tcPr>
          <w:p>
            <w:pPr>
              <w:pStyle w:val="TableContents"/>
              <w:bidi w:val="0"/>
              <w:spacing w:before="0" w:after="283"/>
              <w:jc w:val="right"/>
              <w:rPr/>
            </w:pPr>
            <w:r>
              <w:rPr/>
              <w:t>2.1</w:t>
            </w:r>
          </w:p>
        </w:tc>
        <w:tc>
          <w:tcPr>
            <w:tcW w:w="60" w:type="dxa"/>
            <w:tcBorders/>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877" w:type="dxa"/>
            <w:tcBorders/>
          </w:tcPr>
          <w:p>
            <w:pPr>
              <w:pStyle w:val="TableContents"/>
              <w:bidi w:val="0"/>
              <w:spacing w:before="0" w:after="283"/>
              <w:jc w:val="left"/>
              <w:rPr/>
            </w:pPr>
            <w:r>
              <w:rPr/>
              <w:t>October 24, 2024</w:t>
            </w:r>
          </w:p>
        </w:tc>
        <w:tc>
          <w:tcPr>
            <w:tcW w:w="60" w:type="dxa"/>
            <w:tcBorders/>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sz w:val="4"/>
                <w:szCs w:val="4"/>
              </w:rPr>
            </w:pPr>
            <w:r>
              <w:rPr>
                <w:sz w:val="4"/>
                <w:szCs w:val="4"/>
              </w:rPr>
            </w:r>
          </w:p>
        </w:tc>
        <w:tc>
          <w:tcPr>
            <w:tcW w:w="785" w:type="dxa"/>
            <w:tcBorders/>
          </w:tcPr>
          <w:p>
            <w:pPr>
              <w:pStyle w:val="TableContents"/>
              <w:bidi w:val="0"/>
              <w:spacing w:before="0" w:after="283"/>
              <w:jc w:val="left"/>
              <w:rPr>
                <w:sz w:val="4"/>
                <w:szCs w:val="4"/>
              </w:rPr>
            </w:pPr>
            <w:r>
              <w:rPr>
                <w:sz w:val="4"/>
                <w:szCs w:val="4"/>
              </w:rPr>
            </w:r>
          </w:p>
        </w:tc>
        <w:tc>
          <w:tcPr>
            <w:tcW w:w="68" w:type="dxa"/>
            <w:tcBorders/>
          </w:tcPr>
          <w:p>
            <w:pPr>
              <w:pStyle w:val="TableContents"/>
              <w:bidi w:val="0"/>
              <w:spacing w:before="0" w:after="283"/>
              <w:jc w:val="left"/>
              <w:rPr>
                <w:sz w:val="4"/>
                <w:szCs w:val="4"/>
              </w:rPr>
            </w:pPr>
            <w:r>
              <w:rPr>
                <w:sz w:val="4"/>
                <w:szCs w:val="4"/>
              </w:rPr>
            </w:r>
          </w:p>
        </w:tc>
      </w:tr>
      <w:tr>
        <w:trPr>
          <w:trHeight w:val="120" w:hRule="atLeast"/>
        </w:trPr>
        <w:tc>
          <w:tcPr>
            <w:tcW w:w="926" w:type="dxa"/>
            <w:tcBorders/>
            <w:vAlign w:val="center"/>
          </w:tcPr>
          <w:p>
            <w:pPr>
              <w:pStyle w:val="TableContents"/>
              <w:bidi w:val="0"/>
              <w:spacing w:before="0" w:after="283"/>
              <w:jc w:val="left"/>
              <w:rPr>
                <w:sz w:val="4"/>
                <w:szCs w:val="4"/>
              </w:rPr>
            </w:pPr>
            <w:r>
              <w:rPr>
                <w:sz w:val="4"/>
                <w:szCs w:val="4"/>
              </w:rPr>
            </w:r>
          </w:p>
        </w:tc>
        <w:tc>
          <w:tcPr>
            <w:tcW w:w="2557" w:type="dxa"/>
            <w:gridSpan w:val="2"/>
            <w:tcBorders/>
            <w:vAlign w:val="center"/>
          </w:tcPr>
          <w:p>
            <w:pPr>
              <w:pStyle w:val="TableContents"/>
              <w:bidi w:val="0"/>
              <w:spacing w:before="0" w:after="283"/>
              <w:jc w:val="left"/>
              <w:rPr>
                <w:sz w:val="4"/>
                <w:szCs w:val="4"/>
              </w:rPr>
            </w:pPr>
            <w:r>
              <w:rPr>
                <w:sz w:val="4"/>
                <w:szCs w:val="4"/>
              </w:rPr>
            </w:r>
          </w:p>
        </w:tc>
        <w:tc>
          <w:tcPr>
            <w:tcW w:w="825" w:type="dxa"/>
            <w:gridSpan w:val="4"/>
            <w:tcBorders/>
            <w:vAlign w:val="center"/>
          </w:tcPr>
          <w:p>
            <w:pPr>
              <w:pStyle w:val="TableContents"/>
              <w:bidi w:val="0"/>
              <w:spacing w:before="0" w:after="283"/>
              <w:jc w:val="left"/>
              <w:rPr>
                <w:sz w:val="4"/>
                <w:szCs w:val="4"/>
              </w:rPr>
            </w:pPr>
            <w:r>
              <w:rPr>
                <w:sz w:val="4"/>
                <w:szCs w:val="4"/>
              </w:rPr>
            </w:r>
          </w:p>
        </w:tc>
        <w:tc>
          <w:tcPr>
            <w:tcW w:w="1200" w:type="dxa"/>
            <w:gridSpan w:val="4"/>
            <w:tcBorders/>
            <w:vAlign w:val="center"/>
          </w:tcPr>
          <w:p>
            <w:pPr>
              <w:pStyle w:val="TableContents"/>
              <w:bidi w:val="0"/>
              <w:spacing w:before="0" w:after="283"/>
              <w:jc w:val="left"/>
              <w:rPr>
                <w:sz w:val="4"/>
                <w:szCs w:val="4"/>
              </w:rPr>
            </w:pPr>
            <w:r>
              <w:rPr>
                <w:sz w:val="4"/>
                <w:szCs w:val="4"/>
              </w:rPr>
            </w:r>
          </w:p>
        </w:tc>
        <w:tc>
          <w:tcPr>
            <w:tcW w:w="1313" w:type="dxa"/>
            <w:gridSpan w:val="4"/>
            <w:tcBorders/>
            <w:vAlign w:val="center"/>
          </w:tcPr>
          <w:p>
            <w:pPr>
              <w:pStyle w:val="TableContents"/>
              <w:bidi w:val="0"/>
              <w:spacing w:before="0" w:after="283"/>
              <w:jc w:val="left"/>
              <w:rPr>
                <w:sz w:val="4"/>
                <w:szCs w:val="4"/>
              </w:rPr>
            </w:pPr>
            <w:r>
              <w:rPr>
                <w:sz w:val="4"/>
                <w:szCs w:val="4"/>
              </w:rPr>
            </w:r>
          </w:p>
        </w:tc>
        <w:tc>
          <w:tcPr>
            <w:tcW w:w="2153" w:type="dxa"/>
            <w:gridSpan w:val="4"/>
            <w:tcBorders/>
            <w:vAlign w:val="center"/>
          </w:tcPr>
          <w:p>
            <w:pPr>
              <w:pStyle w:val="TableContents"/>
              <w:bidi w:val="0"/>
              <w:spacing w:before="0" w:after="283"/>
              <w:jc w:val="left"/>
              <w:rPr>
                <w:sz w:val="4"/>
                <w:szCs w:val="4"/>
              </w:rPr>
            </w:pPr>
            <w:r>
              <w:rPr>
                <w:sz w:val="4"/>
                <w:szCs w:val="4"/>
              </w:rPr>
            </w:r>
          </w:p>
        </w:tc>
        <w:tc>
          <w:tcPr>
            <w:tcW w:w="1231" w:type="dxa"/>
            <w:gridSpan w:val="4"/>
            <w:tcBorders/>
            <w:vAlign w:val="cente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r>
              <w:rPr/>
              <w:t>4.1</w:t>
            </w:r>
          </w:p>
        </w:tc>
        <w:tc>
          <w:tcPr>
            <w:tcW w:w="181" w:type="dxa"/>
            <w:tcBorders/>
            <w:vAlign w:val="bottom"/>
          </w:tcPr>
          <w:p>
            <w:pPr>
              <w:pStyle w:val="TableContents"/>
              <w:bidi w:val="0"/>
              <w:spacing w:before="0" w:after="283"/>
              <w:jc w:val="left"/>
              <w:rPr/>
            </w:pPr>
            <w:r>
              <w:rPr/>
              <w:t>  </w:t>
            </w:r>
          </w:p>
        </w:tc>
        <w:tc>
          <w:tcPr>
            <w:tcW w:w="2376" w:type="dxa"/>
            <w:tcBorders/>
          </w:tcPr>
          <w:p>
            <w:pPr>
              <w:pStyle w:val="TableContents"/>
              <w:bidi w:val="0"/>
              <w:spacing w:before="0" w:after="283"/>
              <w:jc w:val="left"/>
              <w:rPr/>
            </w:pPr>
            <w:hyperlink r:id="rId10">
              <w:r>
                <w:rPr>
                  <w:rStyle w:val="InternetLink"/>
                </w:rPr>
                <w:t xml:space="preserve">Amended and Restated Certificate of Incorporation of Lyell Immunopharma, Inc. </w:t>
              </w:r>
            </w:hyperlink>
          </w:p>
        </w:tc>
        <w:tc>
          <w:tcPr>
            <w:tcW w:w="156"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520" w:type="dxa"/>
            <w:tcBorders/>
          </w:tcPr>
          <w:p>
            <w:pPr>
              <w:pStyle w:val="TableContents"/>
              <w:bidi w:val="0"/>
              <w:spacing w:before="0" w:after="283"/>
              <w:jc w:val="right"/>
              <w:rPr/>
            </w:pPr>
            <w:r>
              <w:rPr/>
              <w:t>S-8</w:t>
            </w:r>
          </w:p>
        </w:tc>
        <w:tc>
          <w:tcPr>
            <w:tcW w:w="60" w:type="dxa"/>
            <w:tcBorders/>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24" w:type="dxa"/>
            <w:tcBorders/>
          </w:tcPr>
          <w:p>
            <w:pPr>
              <w:pStyle w:val="TableContents"/>
              <w:bidi w:val="0"/>
              <w:spacing w:before="0" w:after="283"/>
              <w:jc w:val="right"/>
              <w:rPr/>
            </w:pPr>
            <w:r>
              <w:rPr/>
              <w:t>333-257249</w:t>
            </w:r>
          </w:p>
        </w:tc>
        <w:tc>
          <w:tcPr>
            <w:tcW w:w="60" w:type="dxa"/>
            <w:tcBorders/>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9" w:type="dxa"/>
            <w:tcBorders/>
          </w:tcPr>
          <w:p>
            <w:pPr>
              <w:pStyle w:val="TableContents"/>
              <w:bidi w:val="0"/>
              <w:spacing w:before="0" w:after="283"/>
              <w:jc w:val="left"/>
              <w:rPr/>
            </w:pPr>
            <w:r>
              <w:rPr/>
              <w:t> </w:t>
            </w:r>
          </w:p>
        </w:tc>
        <w:tc>
          <w:tcPr>
            <w:tcW w:w="928" w:type="dxa"/>
            <w:tcBorders/>
          </w:tcPr>
          <w:p>
            <w:pPr>
              <w:pStyle w:val="TableContents"/>
              <w:bidi w:val="0"/>
              <w:spacing w:before="0" w:after="283"/>
              <w:jc w:val="right"/>
              <w:rPr/>
            </w:pPr>
            <w:r>
              <w:rPr/>
              <w:t>4.1</w:t>
            </w:r>
          </w:p>
        </w:tc>
        <w:tc>
          <w:tcPr>
            <w:tcW w:w="60" w:type="dxa"/>
            <w:tcBorders/>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877" w:type="dxa"/>
            <w:tcBorders/>
          </w:tcPr>
          <w:p>
            <w:pPr>
              <w:pStyle w:val="TableContents"/>
              <w:bidi w:val="0"/>
              <w:spacing w:before="0" w:after="283"/>
              <w:jc w:val="left"/>
              <w:rPr/>
            </w:pPr>
            <w:r>
              <w:rPr/>
              <w:t>June 21, 2021</w:t>
            </w:r>
          </w:p>
        </w:tc>
        <w:tc>
          <w:tcPr>
            <w:tcW w:w="60" w:type="dxa"/>
            <w:tcBorders/>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sz w:val="4"/>
                <w:szCs w:val="4"/>
              </w:rPr>
            </w:pPr>
            <w:r>
              <w:rPr>
                <w:sz w:val="4"/>
                <w:szCs w:val="4"/>
              </w:rPr>
            </w:r>
          </w:p>
        </w:tc>
        <w:tc>
          <w:tcPr>
            <w:tcW w:w="785" w:type="dxa"/>
            <w:tcBorders/>
          </w:tcPr>
          <w:p>
            <w:pPr>
              <w:pStyle w:val="TableContents"/>
              <w:bidi w:val="0"/>
              <w:spacing w:before="0" w:after="283"/>
              <w:jc w:val="left"/>
              <w:rPr>
                <w:sz w:val="4"/>
                <w:szCs w:val="4"/>
              </w:rPr>
            </w:pPr>
            <w:r>
              <w:rPr>
                <w:sz w:val="4"/>
                <w:szCs w:val="4"/>
              </w:rPr>
            </w:r>
          </w:p>
        </w:tc>
        <w:tc>
          <w:tcPr>
            <w:tcW w:w="68" w:type="dxa"/>
            <w:tcBorders/>
          </w:tcPr>
          <w:p>
            <w:pPr>
              <w:pStyle w:val="TableContents"/>
              <w:bidi w:val="0"/>
              <w:spacing w:before="0" w:after="283"/>
              <w:jc w:val="left"/>
              <w:rPr>
                <w:sz w:val="4"/>
                <w:szCs w:val="4"/>
              </w:rPr>
            </w:pPr>
            <w:r>
              <w:rPr>
                <w:sz w:val="4"/>
                <w:szCs w:val="4"/>
              </w:rPr>
            </w:r>
          </w:p>
        </w:tc>
      </w:tr>
      <w:tr>
        <w:trPr>
          <w:trHeight w:val="120" w:hRule="atLeast"/>
        </w:trPr>
        <w:tc>
          <w:tcPr>
            <w:tcW w:w="926" w:type="dxa"/>
            <w:tcBorders/>
            <w:vAlign w:val="center"/>
          </w:tcPr>
          <w:p>
            <w:pPr>
              <w:pStyle w:val="TableContents"/>
              <w:bidi w:val="0"/>
              <w:spacing w:before="0" w:after="283"/>
              <w:jc w:val="left"/>
              <w:rPr>
                <w:sz w:val="4"/>
                <w:szCs w:val="4"/>
              </w:rPr>
            </w:pPr>
            <w:r>
              <w:rPr>
                <w:sz w:val="4"/>
                <w:szCs w:val="4"/>
              </w:rPr>
            </w:r>
          </w:p>
        </w:tc>
        <w:tc>
          <w:tcPr>
            <w:tcW w:w="2557" w:type="dxa"/>
            <w:gridSpan w:val="2"/>
            <w:tcBorders/>
            <w:vAlign w:val="center"/>
          </w:tcPr>
          <w:p>
            <w:pPr>
              <w:pStyle w:val="TableContents"/>
              <w:bidi w:val="0"/>
              <w:spacing w:before="0" w:after="283"/>
              <w:jc w:val="left"/>
              <w:rPr>
                <w:sz w:val="4"/>
                <w:szCs w:val="4"/>
              </w:rPr>
            </w:pPr>
            <w:r>
              <w:rPr>
                <w:sz w:val="4"/>
                <w:szCs w:val="4"/>
              </w:rPr>
            </w:r>
          </w:p>
        </w:tc>
        <w:tc>
          <w:tcPr>
            <w:tcW w:w="825" w:type="dxa"/>
            <w:gridSpan w:val="4"/>
            <w:tcBorders/>
            <w:vAlign w:val="center"/>
          </w:tcPr>
          <w:p>
            <w:pPr>
              <w:pStyle w:val="TableContents"/>
              <w:bidi w:val="0"/>
              <w:spacing w:before="0" w:after="283"/>
              <w:jc w:val="left"/>
              <w:rPr>
                <w:sz w:val="4"/>
                <w:szCs w:val="4"/>
              </w:rPr>
            </w:pPr>
            <w:r>
              <w:rPr>
                <w:sz w:val="4"/>
                <w:szCs w:val="4"/>
              </w:rPr>
            </w:r>
          </w:p>
        </w:tc>
        <w:tc>
          <w:tcPr>
            <w:tcW w:w="1200" w:type="dxa"/>
            <w:gridSpan w:val="4"/>
            <w:tcBorders/>
            <w:vAlign w:val="center"/>
          </w:tcPr>
          <w:p>
            <w:pPr>
              <w:pStyle w:val="TableContents"/>
              <w:bidi w:val="0"/>
              <w:spacing w:before="0" w:after="283"/>
              <w:jc w:val="left"/>
              <w:rPr>
                <w:sz w:val="4"/>
                <w:szCs w:val="4"/>
              </w:rPr>
            </w:pPr>
            <w:r>
              <w:rPr>
                <w:sz w:val="4"/>
                <w:szCs w:val="4"/>
              </w:rPr>
            </w:r>
          </w:p>
        </w:tc>
        <w:tc>
          <w:tcPr>
            <w:tcW w:w="1313" w:type="dxa"/>
            <w:gridSpan w:val="4"/>
            <w:tcBorders/>
            <w:vAlign w:val="center"/>
          </w:tcPr>
          <w:p>
            <w:pPr>
              <w:pStyle w:val="TableContents"/>
              <w:bidi w:val="0"/>
              <w:spacing w:before="0" w:after="283"/>
              <w:jc w:val="left"/>
              <w:rPr>
                <w:sz w:val="4"/>
                <w:szCs w:val="4"/>
              </w:rPr>
            </w:pPr>
            <w:r>
              <w:rPr>
                <w:sz w:val="4"/>
                <w:szCs w:val="4"/>
              </w:rPr>
            </w:r>
          </w:p>
        </w:tc>
        <w:tc>
          <w:tcPr>
            <w:tcW w:w="2153" w:type="dxa"/>
            <w:gridSpan w:val="4"/>
            <w:tcBorders/>
            <w:vAlign w:val="center"/>
          </w:tcPr>
          <w:p>
            <w:pPr>
              <w:pStyle w:val="TableContents"/>
              <w:bidi w:val="0"/>
              <w:spacing w:before="0" w:after="283"/>
              <w:jc w:val="left"/>
              <w:rPr>
                <w:sz w:val="4"/>
                <w:szCs w:val="4"/>
              </w:rPr>
            </w:pPr>
            <w:r>
              <w:rPr>
                <w:sz w:val="4"/>
                <w:szCs w:val="4"/>
              </w:rPr>
            </w:r>
          </w:p>
        </w:tc>
        <w:tc>
          <w:tcPr>
            <w:tcW w:w="1231" w:type="dxa"/>
            <w:gridSpan w:val="4"/>
            <w:tcBorders/>
            <w:vAlign w:val="cente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r>
              <w:rPr/>
              <w:t>4.2</w:t>
            </w:r>
          </w:p>
        </w:tc>
        <w:tc>
          <w:tcPr>
            <w:tcW w:w="181" w:type="dxa"/>
            <w:tcBorders/>
            <w:vAlign w:val="bottom"/>
          </w:tcPr>
          <w:p>
            <w:pPr>
              <w:pStyle w:val="TableContents"/>
              <w:bidi w:val="0"/>
              <w:spacing w:before="0" w:after="283"/>
              <w:jc w:val="left"/>
              <w:rPr/>
            </w:pPr>
            <w:r>
              <w:rPr/>
              <w:t>  </w:t>
            </w:r>
          </w:p>
        </w:tc>
        <w:tc>
          <w:tcPr>
            <w:tcW w:w="2376" w:type="dxa"/>
            <w:tcBorders/>
          </w:tcPr>
          <w:p>
            <w:pPr>
              <w:pStyle w:val="TableContents"/>
              <w:bidi w:val="0"/>
              <w:spacing w:before="0" w:after="283"/>
              <w:jc w:val="left"/>
              <w:rPr/>
            </w:pPr>
            <w:hyperlink r:id="rId11">
              <w:r>
                <w:rPr>
                  <w:rStyle w:val="InternetLink"/>
                </w:rPr>
                <w:t xml:space="preserve">Certificate of Amendment of the Amended and Restated Certificate of Incorporation of Lyell Immunopharma, Inc. </w:t>
              </w:r>
            </w:hyperlink>
          </w:p>
        </w:tc>
        <w:tc>
          <w:tcPr>
            <w:tcW w:w="156"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520"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24" w:type="dxa"/>
            <w:tcBorders/>
          </w:tcPr>
          <w:p>
            <w:pPr>
              <w:pStyle w:val="TableContents"/>
              <w:bidi w:val="0"/>
              <w:spacing w:before="0" w:after="283"/>
              <w:jc w:val="right"/>
              <w:rPr/>
            </w:pPr>
            <w:r>
              <w:rPr/>
              <w:t>001-40502</w:t>
            </w:r>
          </w:p>
        </w:tc>
        <w:tc>
          <w:tcPr>
            <w:tcW w:w="60" w:type="dxa"/>
            <w:tcBorders/>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9" w:type="dxa"/>
            <w:tcBorders/>
          </w:tcPr>
          <w:p>
            <w:pPr>
              <w:pStyle w:val="TableContents"/>
              <w:bidi w:val="0"/>
              <w:spacing w:before="0" w:after="283"/>
              <w:jc w:val="left"/>
              <w:rPr/>
            </w:pPr>
            <w:r>
              <w:rPr/>
              <w:t> </w:t>
            </w:r>
          </w:p>
        </w:tc>
        <w:tc>
          <w:tcPr>
            <w:tcW w:w="928" w:type="dxa"/>
            <w:tcBorders/>
          </w:tcPr>
          <w:p>
            <w:pPr>
              <w:pStyle w:val="TableContents"/>
              <w:bidi w:val="0"/>
              <w:spacing w:before="0" w:after="283"/>
              <w:jc w:val="right"/>
              <w:rPr/>
            </w:pPr>
            <w:r>
              <w:rPr/>
              <w:t>3.1</w:t>
            </w:r>
          </w:p>
        </w:tc>
        <w:tc>
          <w:tcPr>
            <w:tcW w:w="60" w:type="dxa"/>
            <w:tcBorders/>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877" w:type="dxa"/>
            <w:tcBorders/>
          </w:tcPr>
          <w:p>
            <w:pPr>
              <w:pStyle w:val="TableContents"/>
              <w:bidi w:val="0"/>
              <w:spacing w:before="0" w:after="283"/>
              <w:jc w:val="left"/>
              <w:rPr/>
            </w:pPr>
            <w:r>
              <w:rPr/>
              <w:t>May 28, 2025</w:t>
            </w:r>
          </w:p>
        </w:tc>
        <w:tc>
          <w:tcPr>
            <w:tcW w:w="60" w:type="dxa"/>
            <w:tcBorders/>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sz w:val="4"/>
                <w:szCs w:val="4"/>
              </w:rPr>
            </w:pPr>
            <w:r>
              <w:rPr>
                <w:sz w:val="4"/>
                <w:szCs w:val="4"/>
              </w:rPr>
            </w:r>
          </w:p>
        </w:tc>
        <w:tc>
          <w:tcPr>
            <w:tcW w:w="785" w:type="dxa"/>
            <w:tcBorders/>
          </w:tcPr>
          <w:p>
            <w:pPr>
              <w:pStyle w:val="TableContents"/>
              <w:bidi w:val="0"/>
              <w:spacing w:before="0" w:after="283"/>
              <w:jc w:val="left"/>
              <w:rPr>
                <w:sz w:val="4"/>
                <w:szCs w:val="4"/>
              </w:rPr>
            </w:pPr>
            <w:r>
              <w:rPr>
                <w:sz w:val="4"/>
                <w:szCs w:val="4"/>
              </w:rPr>
            </w:r>
          </w:p>
        </w:tc>
        <w:tc>
          <w:tcPr>
            <w:tcW w:w="68" w:type="dxa"/>
            <w:tcBorders/>
          </w:tcPr>
          <w:p>
            <w:pPr>
              <w:pStyle w:val="TableContents"/>
              <w:bidi w:val="0"/>
              <w:spacing w:before="0" w:after="283"/>
              <w:jc w:val="left"/>
              <w:rPr>
                <w:sz w:val="4"/>
                <w:szCs w:val="4"/>
              </w:rPr>
            </w:pPr>
            <w:r>
              <w:rPr>
                <w:sz w:val="4"/>
                <w:szCs w:val="4"/>
              </w:rPr>
            </w:r>
          </w:p>
        </w:tc>
      </w:tr>
      <w:tr>
        <w:trPr>
          <w:trHeight w:val="120" w:hRule="atLeast"/>
        </w:trPr>
        <w:tc>
          <w:tcPr>
            <w:tcW w:w="926" w:type="dxa"/>
            <w:tcBorders/>
            <w:vAlign w:val="center"/>
          </w:tcPr>
          <w:p>
            <w:pPr>
              <w:pStyle w:val="TableContents"/>
              <w:bidi w:val="0"/>
              <w:spacing w:before="0" w:after="283"/>
              <w:jc w:val="left"/>
              <w:rPr>
                <w:sz w:val="4"/>
                <w:szCs w:val="4"/>
              </w:rPr>
            </w:pPr>
            <w:r>
              <w:rPr>
                <w:sz w:val="4"/>
                <w:szCs w:val="4"/>
              </w:rPr>
            </w:r>
          </w:p>
        </w:tc>
        <w:tc>
          <w:tcPr>
            <w:tcW w:w="2557" w:type="dxa"/>
            <w:gridSpan w:val="2"/>
            <w:tcBorders/>
            <w:vAlign w:val="center"/>
          </w:tcPr>
          <w:p>
            <w:pPr>
              <w:pStyle w:val="TableContents"/>
              <w:bidi w:val="0"/>
              <w:spacing w:before="0" w:after="283"/>
              <w:jc w:val="left"/>
              <w:rPr>
                <w:sz w:val="4"/>
                <w:szCs w:val="4"/>
              </w:rPr>
            </w:pPr>
            <w:r>
              <w:rPr>
                <w:sz w:val="4"/>
                <w:szCs w:val="4"/>
              </w:rPr>
            </w:r>
          </w:p>
        </w:tc>
        <w:tc>
          <w:tcPr>
            <w:tcW w:w="825" w:type="dxa"/>
            <w:gridSpan w:val="4"/>
            <w:tcBorders/>
            <w:vAlign w:val="center"/>
          </w:tcPr>
          <w:p>
            <w:pPr>
              <w:pStyle w:val="TableContents"/>
              <w:bidi w:val="0"/>
              <w:spacing w:before="0" w:after="283"/>
              <w:jc w:val="left"/>
              <w:rPr>
                <w:sz w:val="4"/>
                <w:szCs w:val="4"/>
              </w:rPr>
            </w:pPr>
            <w:r>
              <w:rPr>
                <w:sz w:val="4"/>
                <w:szCs w:val="4"/>
              </w:rPr>
            </w:r>
          </w:p>
        </w:tc>
        <w:tc>
          <w:tcPr>
            <w:tcW w:w="1200" w:type="dxa"/>
            <w:gridSpan w:val="4"/>
            <w:tcBorders/>
            <w:vAlign w:val="center"/>
          </w:tcPr>
          <w:p>
            <w:pPr>
              <w:pStyle w:val="TableContents"/>
              <w:bidi w:val="0"/>
              <w:spacing w:before="0" w:after="283"/>
              <w:jc w:val="left"/>
              <w:rPr>
                <w:sz w:val="4"/>
                <w:szCs w:val="4"/>
              </w:rPr>
            </w:pPr>
            <w:r>
              <w:rPr>
                <w:sz w:val="4"/>
                <w:szCs w:val="4"/>
              </w:rPr>
            </w:r>
          </w:p>
        </w:tc>
        <w:tc>
          <w:tcPr>
            <w:tcW w:w="1313" w:type="dxa"/>
            <w:gridSpan w:val="4"/>
            <w:tcBorders/>
            <w:vAlign w:val="center"/>
          </w:tcPr>
          <w:p>
            <w:pPr>
              <w:pStyle w:val="TableContents"/>
              <w:bidi w:val="0"/>
              <w:spacing w:before="0" w:after="283"/>
              <w:jc w:val="left"/>
              <w:rPr>
                <w:sz w:val="4"/>
                <w:szCs w:val="4"/>
              </w:rPr>
            </w:pPr>
            <w:r>
              <w:rPr>
                <w:sz w:val="4"/>
                <w:szCs w:val="4"/>
              </w:rPr>
            </w:r>
          </w:p>
        </w:tc>
        <w:tc>
          <w:tcPr>
            <w:tcW w:w="2153" w:type="dxa"/>
            <w:gridSpan w:val="4"/>
            <w:tcBorders/>
            <w:vAlign w:val="center"/>
          </w:tcPr>
          <w:p>
            <w:pPr>
              <w:pStyle w:val="TableContents"/>
              <w:bidi w:val="0"/>
              <w:spacing w:before="0" w:after="283"/>
              <w:jc w:val="left"/>
              <w:rPr>
                <w:sz w:val="4"/>
                <w:szCs w:val="4"/>
              </w:rPr>
            </w:pPr>
            <w:r>
              <w:rPr>
                <w:sz w:val="4"/>
                <w:szCs w:val="4"/>
              </w:rPr>
            </w:r>
          </w:p>
        </w:tc>
        <w:tc>
          <w:tcPr>
            <w:tcW w:w="1231" w:type="dxa"/>
            <w:gridSpan w:val="4"/>
            <w:tcBorders/>
            <w:vAlign w:val="cente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r>
              <w:rPr/>
              <w:t>4.3</w:t>
            </w:r>
          </w:p>
        </w:tc>
        <w:tc>
          <w:tcPr>
            <w:tcW w:w="181" w:type="dxa"/>
            <w:tcBorders/>
            <w:vAlign w:val="bottom"/>
          </w:tcPr>
          <w:p>
            <w:pPr>
              <w:pStyle w:val="TableContents"/>
              <w:bidi w:val="0"/>
              <w:spacing w:before="0" w:after="283"/>
              <w:jc w:val="left"/>
              <w:rPr/>
            </w:pPr>
            <w:r>
              <w:rPr/>
              <w:t>  </w:t>
            </w:r>
          </w:p>
        </w:tc>
        <w:tc>
          <w:tcPr>
            <w:tcW w:w="2376" w:type="dxa"/>
            <w:tcBorders/>
          </w:tcPr>
          <w:p>
            <w:pPr>
              <w:pStyle w:val="TableContents"/>
              <w:bidi w:val="0"/>
              <w:spacing w:before="0" w:after="283"/>
              <w:jc w:val="left"/>
              <w:rPr/>
            </w:pPr>
            <w:hyperlink r:id="rId12">
              <w:r>
                <w:rPr>
                  <w:rStyle w:val="InternetLink"/>
                </w:rPr>
                <w:t xml:space="preserve">Amended and Restated Bylaws of Lyell Immunopharma, Inc. </w:t>
              </w:r>
            </w:hyperlink>
          </w:p>
        </w:tc>
        <w:tc>
          <w:tcPr>
            <w:tcW w:w="156"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520"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24" w:type="dxa"/>
            <w:tcBorders/>
          </w:tcPr>
          <w:p>
            <w:pPr>
              <w:pStyle w:val="TableContents"/>
              <w:bidi w:val="0"/>
              <w:spacing w:before="0" w:after="283"/>
              <w:jc w:val="right"/>
              <w:rPr/>
            </w:pPr>
            <w:r>
              <w:rPr/>
              <w:t>001-40502</w:t>
            </w:r>
          </w:p>
        </w:tc>
        <w:tc>
          <w:tcPr>
            <w:tcW w:w="60" w:type="dxa"/>
            <w:tcBorders/>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9" w:type="dxa"/>
            <w:tcBorders/>
          </w:tcPr>
          <w:p>
            <w:pPr>
              <w:pStyle w:val="TableContents"/>
              <w:bidi w:val="0"/>
              <w:spacing w:before="0" w:after="283"/>
              <w:jc w:val="left"/>
              <w:rPr/>
            </w:pPr>
            <w:r>
              <w:rPr/>
              <w:t> </w:t>
            </w:r>
          </w:p>
        </w:tc>
        <w:tc>
          <w:tcPr>
            <w:tcW w:w="928" w:type="dxa"/>
            <w:tcBorders/>
          </w:tcPr>
          <w:p>
            <w:pPr>
              <w:pStyle w:val="TableContents"/>
              <w:bidi w:val="0"/>
              <w:spacing w:before="0" w:after="283"/>
              <w:jc w:val="right"/>
              <w:rPr/>
            </w:pPr>
            <w:r>
              <w:rPr/>
              <w:t>3.1</w:t>
            </w:r>
          </w:p>
        </w:tc>
        <w:tc>
          <w:tcPr>
            <w:tcW w:w="60" w:type="dxa"/>
            <w:tcBorders/>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877" w:type="dxa"/>
            <w:tcBorders/>
          </w:tcPr>
          <w:p>
            <w:pPr>
              <w:pStyle w:val="TableContents"/>
              <w:bidi w:val="0"/>
              <w:spacing w:before="0" w:after="283"/>
              <w:jc w:val="left"/>
              <w:rPr/>
            </w:pPr>
            <w:r>
              <w:rPr/>
              <w:t>December 5, 2025</w:t>
            </w:r>
          </w:p>
        </w:tc>
        <w:tc>
          <w:tcPr>
            <w:tcW w:w="60" w:type="dxa"/>
            <w:tcBorders/>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sz w:val="4"/>
                <w:szCs w:val="4"/>
              </w:rPr>
            </w:pPr>
            <w:r>
              <w:rPr>
                <w:sz w:val="4"/>
                <w:szCs w:val="4"/>
              </w:rPr>
            </w:r>
          </w:p>
        </w:tc>
        <w:tc>
          <w:tcPr>
            <w:tcW w:w="785" w:type="dxa"/>
            <w:tcBorders/>
          </w:tcPr>
          <w:p>
            <w:pPr>
              <w:pStyle w:val="TableContents"/>
              <w:bidi w:val="0"/>
              <w:spacing w:before="0" w:after="283"/>
              <w:jc w:val="left"/>
              <w:rPr>
                <w:sz w:val="4"/>
                <w:szCs w:val="4"/>
              </w:rPr>
            </w:pPr>
            <w:r>
              <w:rPr>
                <w:sz w:val="4"/>
                <w:szCs w:val="4"/>
              </w:rPr>
            </w:r>
          </w:p>
        </w:tc>
        <w:tc>
          <w:tcPr>
            <w:tcW w:w="68" w:type="dxa"/>
            <w:tcBorders/>
          </w:tcPr>
          <w:p>
            <w:pPr>
              <w:pStyle w:val="TableContents"/>
              <w:bidi w:val="0"/>
              <w:spacing w:before="0" w:after="283"/>
              <w:jc w:val="left"/>
              <w:rPr>
                <w:sz w:val="4"/>
                <w:szCs w:val="4"/>
              </w:rPr>
            </w:pPr>
            <w:r>
              <w:rPr>
                <w:sz w:val="4"/>
                <w:szCs w:val="4"/>
              </w:rPr>
            </w:r>
          </w:p>
        </w:tc>
      </w:tr>
      <w:tr>
        <w:trPr>
          <w:trHeight w:val="120" w:hRule="atLeast"/>
        </w:trPr>
        <w:tc>
          <w:tcPr>
            <w:tcW w:w="926" w:type="dxa"/>
            <w:tcBorders/>
            <w:vAlign w:val="center"/>
          </w:tcPr>
          <w:p>
            <w:pPr>
              <w:pStyle w:val="TableContents"/>
              <w:bidi w:val="0"/>
              <w:spacing w:before="0" w:after="283"/>
              <w:jc w:val="left"/>
              <w:rPr>
                <w:sz w:val="4"/>
                <w:szCs w:val="4"/>
              </w:rPr>
            </w:pPr>
            <w:r>
              <w:rPr>
                <w:sz w:val="4"/>
                <w:szCs w:val="4"/>
              </w:rPr>
            </w:r>
          </w:p>
        </w:tc>
        <w:tc>
          <w:tcPr>
            <w:tcW w:w="2557" w:type="dxa"/>
            <w:gridSpan w:val="2"/>
            <w:tcBorders/>
            <w:vAlign w:val="center"/>
          </w:tcPr>
          <w:p>
            <w:pPr>
              <w:pStyle w:val="TableContents"/>
              <w:bidi w:val="0"/>
              <w:spacing w:before="0" w:after="283"/>
              <w:jc w:val="left"/>
              <w:rPr>
                <w:sz w:val="4"/>
                <w:szCs w:val="4"/>
              </w:rPr>
            </w:pPr>
            <w:r>
              <w:rPr>
                <w:sz w:val="4"/>
                <w:szCs w:val="4"/>
              </w:rPr>
            </w:r>
          </w:p>
        </w:tc>
        <w:tc>
          <w:tcPr>
            <w:tcW w:w="825" w:type="dxa"/>
            <w:gridSpan w:val="4"/>
            <w:tcBorders/>
            <w:vAlign w:val="center"/>
          </w:tcPr>
          <w:p>
            <w:pPr>
              <w:pStyle w:val="TableContents"/>
              <w:bidi w:val="0"/>
              <w:spacing w:before="0" w:after="283"/>
              <w:jc w:val="left"/>
              <w:rPr>
                <w:sz w:val="4"/>
                <w:szCs w:val="4"/>
              </w:rPr>
            </w:pPr>
            <w:r>
              <w:rPr>
                <w:sz w:val="4"/>
                <w:szCs w:val="4"/>
              </w:rPr>
            </w:r>
          </w:p>
        </w:tc>
        <w:tc>
          <w:tcPr>
            <w:tcW w:w="1200" w:type="dxa"/>
            <w:gridSpan w:val="4"/>
            <w:tcBorders/>
            <w:vAlign w:val="center"/>
          </w:tcPr>
          <w:p>
            <w:pPr>
              <w:pStyle w:val="TableContents"/>
              <w:bidi w:val="0"/>
              <w:spacing w:before="0" w:after="283"/>
              <w:jc w:val="left"/>
              <w:rPr>
                <w:sz w:val="4"/>
                <w:szCs w:val="4"/>
              </w:rPr>
            </w:pPr>
            <w:r>
              <w:rPr>
                <w:sz w:val="4"/>
                <w:szCs w:val="4"/>
              </w:rPr>
            </w:r>
          </w:p>
        </w:tc>
        <w:tc>
          <w:tcPr>
            <w:tcW w:w="1313" w:type="dxa"/>
            <w:gridSpan w:val="4"/>
            <w:tcBorders/>
            <w:vAlign w:val="center"/>
          </w:tcPr>
          <w:p>
            <w:pPr>
              <w:pStyle w:val="TableContents"/>
              <w:bidi w:val="0"/>
              <w:spacing w:before="0" w:after="283"/>
              <w:jc w:val="left"/>
              <w:rPr>
                <w:sz w:val="4"/>
                <w:szCs w:val="4"/>
              </w:rPr>
            </w:pPr>
            <w:r>
              <w:rPr>
                <w:sz w:val="4"/>
                <w:szCs w:val="4"/>
              </w:rPr>
            </w:r>
          </w:p>
        </w:tc>
        <w:tc>
          <w:tcPr>
            <w:tcW w:w="2153" w:type="dxa"/>
            <w:gridSpan w:val="4"/>
            <w:tcBorders/>
            <w:vAlign w:val="center"/>
          </w:tcPr>
          <w:p>
            <w:pPr>
              <w:pStyle w:val="TableContents"/>
              <w:bidi w:val="0"/>
              <w:spacing w:before="0" w:after="283"/>
              <w:jc w:val="left"/>
              <w:rPr>
                <w:sz w:val="4"/>
                <w:szCs w:val="4"/>
              </w:rPr>
            </w:pPr>
            <w:r>
              <w:rPr>
                <w:sz w:val="4"/>
                <w:szCs w:val="4"/>
              </w:rPr>
            </w:r>
          </w:p>
        </w:tc>
        <w:tc>
          <w:tcPr>
            <w:tcW w:w="1231" w:type="dxa"/>
            <w:gridSpan w:val="4"/>
            <w:tcBorders/>
            <w:vAlign w:val="cente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r>
              <w:rPr/>
              <w:t>4.4</w:t>
            </w:r>
          </w:p>
        </w:tc>
        <w:tc>
          <w:tcPr>
            <w:tcW w:w="181" w:type="dxa"/>
            <w:tcBorders/>
            <w:vAlign w:val="bottom"/>
          </w:tcPr>
          <w:p>
            <w:pPr>
              <w:pStyle w:val="TableContents"/>
              <w:bidi w:val="0"/>
              <w:spacing w:before="0" w:after="283"/>
              <w:jc w:val="left"/>
              <w:rPr/>
            </w:pPr>
            <w:r>
              <w:rPr/>
              <w:t>  </w:t>
            </w:r>
          </w:p>
        </w:tc>
        <w:tc>
          <w:tcPr>
            <w:tcW w:w="2376" w:type="dxa"/>
            <w:tcBorders/>
          </w:tcPr>
          <w:p>
            <w:pPr>
              <w:pStyle w:val="TableContents"/>
              <w:bidi w:val="0"/>
              <w:spacing w:before="0" w:after="283"/>
              <w:jc w:val="left"/>
              <w:rPr/>
            </w:pPr>
            <w:hyperlink r:id="rId13">
              <w:r>
                <w:rPr>
                  <w:rStyle w:val="InternetLink"/>
                </w:rPr>
                <w:t xml:space="preserve">Form of Common Stock Certificate </w:t>
              </w:r>
            </w:hyperlink>
          </w:p>
        </w:tc>
        <w:tc>
          <w:tcPr>
            <w:tcW w:w="156"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520" w:type="dxa"/>
            <w:tcBorders/>
          </w:tcPr>
          <w:p>
            <w:pPr>
              <w:pStyle w:val="TableContents"/>
              <w:bidi w:val="0"/>
              <w:spacing w:before="0" w:after="283"/>
              <w:jc w:val="right"/>
              <w:rPr/>
            </w:pPr>
            <w:r>
              <w:rPr/>
              <w:t>10-Q</w:t>
            </w:r>
          </w:p>
        </w:tc>
        <w:tc>
          <w:tcPr>
            <w:tcW w:w="60" w:type="dxa"/>
            <w:tcBorders/>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24" w:type="dxa"/>
            <w:tcBorders/>
          </w:tcPr>
          <w:p>
            <w:pPr>
              <w:pStyle w:val="TableContents"/>
              <w:bidi w:val="0"/>
              <w:spacing w:before="0" w:after="283"/>
              <w:jc w:val="right"/>
              <w:rPr/>
            </w:pPr>
            <w:r>
              <w:rPr/>
              <w:t>001-40502</w:t>
            </w:r>
          </w:p>
        </w:tc>
        <w:tc>
          <w:tcPr>
            <w:tcW w:w="60" w:type="dxa"/>
            <w:tcBorders/>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9" w:type="dxa"/>
            <w:tcBorders/>
          </w:tcPr>
          <w:p>
            <w:pPr>
              <w:pStyle w:val="TableContents"/>
              <w:bidi w:val="0"/>
              <w:spacing w:before="0" w:after="283"/>
              <w:jc w:val="left"/>
              <w:rPr/>
            </w:pPr>
            <w:r>
              <w:rPr/>
              <w:t> </w:t>
            </w:r>
          </w:p>
        </w:tc>
        <w:tc>
          <w:tcPr>
            <w:tcW w:w="928" w:type="dxa"/>
            <w:tcBorders/>
          </w:tcPr>
          <w:p>
            <w:pPr>
              <w:pStyle w:val="TableContents"/>
              <w:bidi w:val="0"/>
              <w:spacing w:before="0" w:after="283"/>
              <w:jc w:val="right"/>
              <w:rPr/>
            </w:pPr>
            <w:r>
              <w:rPr/>
              <w:t>4.1</w:t>
            </w:r>
          </w:p>
        </w:tc>
        <w:tc>
          <w:tcPr>
            <w:tcW w:w="60" w:type="dxa"/>
            <w:tcBorders/>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877" w:type="dxa"/>
            <w:tcBorders/>
          </w:tcPr>
          <w:p>
            <w:pPr>
              <w:pStyle w:val="TableContents"/>
              <w:bidi w:val="0"/>
              <w:spacing w:before="0" w:after="283"/>
              <w:jc w:val="left"/>
              <w:rPr/>
            </w:pPr>
            <w:r>
              <w:rPr/>
              <w:t>August 12, 2025</w:t>
            </w:r>
          </w:p>
        </w:tc>
        <w:tc>
          <w:tcPr>
            <w:tcW w:w="60" w:type="dxa"/>
            <w:tcBorders/>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sz w:val="4"/>
                <w:szCs w:val="4"/>
              </w:rPr>
            </w:pPr>
            <w:r>
              <w:rPr>
                <w:sz w:val="4"/>
                <w:szCs w:val="4"/>
              </w:rPr>
            </w:r>
          </w:p>
        </w:tc>
        <w:tc>
          <w:tcPr>
            <w:tcW w:w="785" w:type="dxa"/>
            <w:tcBorders/>
          </w:tcPr>
          <w:p>
            <w:pPr>
              <w:pStyle w:val="TableContents"/>
              <w:bidi w:val="0"/>
              <w:spacing w:before="0" w:after="283"/>
              <w:jc w:val="left"/>
              <w:rPr>
                <w:sz w:val="4"/>
                <w:szCs w:val="4"/>
              </w:rPr>
            </w:pPr>
            <w:r>
              <w:rPr>
                <w:sz w:val="4"/>
                <w:szCs w:val="4"/>
              </w:rPr>
            </w:r>
          </w:p>
        </w:tc>
        <w:tc>
          <w:tcPr>
            <w:tcW w:w="68" w:type="dxa"/>
            <w:tcBorders/>
          </w:tcPr>
          <w:p>
            <w:pPr>
              <w:pStyle w:val="TableContents"/>
              <w:bidi w:val="0"/>
              <w:spacing w:before="0" w:after="283"/>
              <w:jc w:val="left"/>
              <w:rPr>
                <w:sz w:val="4"/>
                <w:szCs w:val="4"/>
              </w:rPr>
            </w:pPr>
            <w:r>
              <w:rPr>
                <w:sz w:val="4"/>
                <w:szCs w:val="4"/>
              </w:rPr>
            </w:r>
          </w:p>
        </w:tc>
      </w:tr>
      <w:tr>
        <w:trPr>
          <w:trHeight w:val="120" w:hRule="atLeast"/>
        </w:trPr>
        <w:tc>
          <w:tcPr>
            <w:tcW w:w="926" w:type="dxa"/>
            <w:tcBorders/>
            <w:vAlign w:val="center"/>
          </w:tcPr>
          <w:p>
            <w:pPr>
              <w:pStyle w:val="TableContents"/>
              <w:bidi w:val="0"/>
              <w:spacing w:before="0" w:after="283"/>
              <w:jc w:val="left"/>
              <w:rPr>
                <w:sz w:val="4"/>
                <w:szCs w:val="4"/>
              </w:rPr>
            </w:pPr>
            <w:r>
              <w:rPr>
                <w:sz w:val="4"/>
                <w:szCs w:val="4"/>
              </w:rPr>
            </w:r>
          </w:p>
        </w:tc>
        <w:tc>
          <w:tcPr>
            <w:tcW w:w="2557" w:type="dxa"/>
            <w:gridSpan w:val="2"/>
            <w:tcBorders/>
            <w:vAlign w:val="center"/>
          </w:tcPr>
          <w:p>
            <w:pPr>
              <w:pStyle w:val="TableContents"/>
              <w:bidi w:val="0"/>
              <w:spacing w:before="0" w:after="283"/>
              <w:jc w:val="left"/>
              <w:rPr>
                <w:sz w:val="4"/>
                <w:szCs w:val="4"/>
              </w:rPr>
            </w:pPr>
            <w:r>
              <w:rPr>
                <w:sz w:val="4"/>
                <w:szCs w:val="4"/>
              </w:rPr>
            </w:r>
          </w:p>
        </w:tc>
        <w:tc>
          <w:tcPr>
            <w:tcW w:w="825" w:type="dxa"/>
            <w:gridSpan w:val="4"/>
            <w:tcBorders/>
            <w:vAlign w:val="center"/>
          </w:tcPr>
          <w:p>
            <w:pPr>
              <w:pStyle w:val="TableContents"/>
              <w:bidi w:val="0"/>
              <w:spacing w:before="0" w:after="283"/>
              <w:jc w:val="left"/>
              <w:rPr>
                <w:sz w:val="4"/>
                <w:szCs w:val="4"/>
              </w:rPr>
            </w:pPr>
            <w:r>
              <w:rPr>
                <w:sz w:val="4"/>
                <w:szCs w:val="4"/>
              </w:rPr>
            </w:r>
          </w:p>
        </w:tc>
        <w:tc>
          <w:tcPr>
            <w:tcW w:w="1200" w:type="dxa"/>
            <w:gridSpan w:val="4"/>
            <w:tcBorders/>
            <w:vAlign w:val="center"/>
          </w:tcPr>
          <w:p>
            <w:pPr>
              <w:pStyle w:val="TableContents"/>
              <w:bidi w:val="0"/>
              <w:spacing w:before="0" w:after="283"/>
              <w:jc w:val="left"/>
              <w:rPr>
                <w:sz w:val="4"/>
                <w:szCs w:val="4"/>
              </w:rPr>
            </w:pPr>
            <w:r>
              <w:rPr>
                <w:sz w:val="4"/>
                <w:szCs w:val="4"/>
              </w:rPr>
            </w:r>
          </w:p>
        </w:tc>
        <w:tc>
          <w:tcPr>
            <w:tcW w:w="1313" w:type="dxa"/>
            <w:gridSpan w:val="4"/>
            <w:tcBorders/>
            <w:vAlign w:val="center"/>
          </w:tcPr>
          <w:p>
            <w:pPr>
              <w:pStyle w:val="TableContents"/>
              <w:bidi w:val="0"/>
              <w:spacing w:before="0" w:after="283"/>
              <w:jc w:val="left"/>
              <w:rPr>
                <w:sz w:val="4"/>
                <w:szCs w:val="4"/>
              </w:rPr>
            </w:pPr>
            <w:r>
              <w:rPr>
                <w:sz w:val="4"/>
                <w:szCs w:val="4"/>
              </w:rPr>
            </w:r>
          </w:p>
        </w:tc>
        <w:tc>
          <w:tcPr>
            <w:tcW w:w="2153" w:type="dxa"/>
            <w:gridSpan w:val="4"/>
            <w:tcBorders/>
            <w:vAlign w:val="center"/>
          </w:tcPr>
          <w:p>
            <w:pPr>
              <w:pStyle w:val="TableContents"/>
              <w:bidi w:val="0"/>
              <w:spacing w:before="0" w:after="283"/>
              <w:jc w:val="left"/>
              <w:rPr>
                <w:sz w:val="4"/>
                <w:szCs w:val="4"/>
              </w:rPr>
            </w:pPr>
            <w:r>
              <w:rPr>
                <w:sz w:val="4"/>
                <w:szCs w:val="4"/>
              </w:rPr>
            </w:r>
          </w:p>
        </w:tc>
        <w:tc>
          <w:tcPr>
            <w:tcW w:w="1231" w:type="dxa"/>
            <w:gridSpan w:val="4"/>
            <w:tcBorders/>
            <w:vAlign w:val="cente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r>
              <w:rPr/>
              <w:t>4.5</w:t>
            </w:r>
          </w:p>
        </w:tc>
        <w:tc>
          <w:tcPr>
            <w:tcW w:w="181" w:type="dxa"/>
            <w:tcBorders/>
            <w:vAlign w:val="bottom"/>
          </w:tcPr>
          <w:p>
            <w:pPr>
              <w:pStyle w:val="TableContents"/>
              <w:bidi w:val="0"/>
              <w:spacing w:before="0" w:after="283"/>
              <w:jc w:val="left"/>
              <w:rPr/>
            </w:pPr>
            <w:r>
              <w:rPr/>
              <w:t>  </w:t>
            </w:r>
          </w:p>
        </w:tc>
        <w:tc>
          <w:tcPr>
            <w:tcW w:w="2376" w:type="dxa"/>
            <w:tcBorders/>
          </w:tcPr>
          <w:p>
            <w:pPr>
              <w:pStyle w:val="TableContents"/>
              <w:bidi w:val="0"/>
              <w:spacing w:before="0" w:after="283"/>
              <w:jc w:val="left"/>
              <w:rPr/>
            </w:pPr>
            <w:hyperlink r:id="rId14">
              <w:r>
                <w:rPr>
                  <w:rStyle w:val="InternetLink"/>
                </w:rPr>
                <w:t xml:space="preserve">Registration Rights Agreement, dated as of November 6, 2025, by and between Lyell Immunopharma, Inc. and Innovative Cellular Therapeutics Holdings Limited </w:t>
              </w:r>
            </w:hyperlink>
          </w:p>
        </w:tc>
        <w:tc>
          <w:tcPr>
            <w:tcW w:w="156"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520" w:type="dxa"/>
            <w:tcBorders/>
          </w:tcPr>
          <w:p>
            <w:pPr>
              <w:pStyle w:val="TableContents"/>
              <w:bidi w:val="0"/>
              <w:spacing w:before="0" w:after="283"/>
              <w:jc w:val="right"/>
              <w:rPr/>
            </w:pPr>
            <w:r>
              <w:rPr/>
              <w:t>S-3</w:t>
            </w:r>
          </w:p>
        </w:tc>
        <w:tc>
          <w:tcPr>
            <w:tcW w:w="60" w:type="dxa"/>
            <w:tcBorders/>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24" w:type="dxa"/>
            <w:tcBorders/>
          </w:tcPr>
          <w:p>
            <w:pPr>
              <w:pStyle w:val="TableContents"/>
              <w:bidi w:val="0"/>
              <w:spacing w:before="0" w:after="283"/>
              <w:jc w:val="right"/>
              <w:rPr/>
            </w:pPr>
            <w:r>
              <w:rPr/>
              <w:t>333-291970</w:t>
            </w:r>
          </w:p>
        </w:tc>
        <w:tc>
          <w:tcPr>
            <w:tcW w:w="60" w:type="dxa"/>
            <w:tcBorders/>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9" w:type="dxa"/>
            <w:tcBorders/>
          </w:tcPr>
          <w:p>
            <w:pPr>
              <w:pStyle w:val="TableContents"/>
              <w:bidi w:val="0"/>
              <w:spacing w:before="0" w:after="283"/>
              <w:jc w:val="left"/>
              <w:rPr/>
            </w:pPr>
            <w:r>
              <w:rPr/>
              <w:t> </w:t>
            </w:r>
          </w:p>
        </w:tc>
        <w:tc>
          <w:tcPr>
            <w:tcW w:w="928" w:type="dxa"/>
            <w:tcBorders/>
          </w:tcPr>
          <w:p>
            <w:pPr>
              <w:pStyle w:val="TableContents"/>
              <w:bidi w:val="0"/>
              <w:spacing w:before="0" w:after="283"/>
              <w:jc w:val="right"/>
              <w:rPr/>
            </w:pPr>
            <w:r>
              <w:rPr/>
              <w:t>4.3</w:t>
            </w:r>
          </w:p>
        </w:tc>
        <w:tc>
          <w:tcPr>
            <w:tcW w:w="60" w:type="dxa"/>
            <w:tcBorders/>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877" w:type="dxa"/>
            <w:tcBorders/>
          </w:tcPr>
          <w:p>
            <w:pPr>
              <w:pStyle w:val="TableContents"/>
              <w:bidi w:val="0"/>
              <w:spacing w:before="0" w:after="283"/>
              <w:jc w:val="left"/>
              <w:rPr/>
            </w:pPr>
            <w:r>
              <w:rPr/>
              <w:t>December 5, 2025</w:t>
            </w:r>
          </w:p>
        </w:tc>
        <w:tc>
          <w:tcPr>
            <w:tcW w:w="60" w:type="dxa"/>
            <w:tcBorders/>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sz w:val="4"/>
                <w:szCs w:val="4"/>
              </w:rPr>
            </w:pPr>
            <w:r>
              <w:rPr>
                <w:sz w:val="4"/>
                <w:szCs w:val="4"/>
              </w:rPr>
            </w:r>
          </w:p>
        </w:tc>
        <w:tc>
          <w:tcPr>
            <w:tcW w:w="785" w:type="dxa"/>
            <w:tcBorders/>
          </w:tcPr>
          <w:p>
            <w:pPr>
              <w:pStyle w:val="TableContents"/>
              <w:bidi w:val="0"/>
              <w:spacing w:before="0" w:after="283"/>
              <w:jc w:val="left"/>
              <w:rPr>
                <w:sz w:val="4"/>
                <w:szCs w:val="4"/>
              </w:rPr>
            </w:pPr>
            <w:r>
              <w:rPr>
                <w:sz w:val="4"/>
                <w:szCs w:val="4"/>
              </w:rPr>
            </w:r>
          </w:p>
        </w:tc>
        <w:tc>
          <w:tcPr>
            <w:tcW w:w="68" w:type="dxa"/>
            <w:tcBorders/>
          </w:tcPr>
          <w:p>
            <w:pPr>
              <w:pStyle w:val="TableContents"/>
              <w:bidi w:val="0"/>
              <w:spacing w:before="0" w:after="283"/>
              <w:jc w:val="left"/>
              <w:rPr>
                <w:sz w:val="4"/>
                <w:szCs w:val="4"/>
              </w:rPr>
            </w:pPr>
            <w:r>
              <w:rPr>
                <w:sz w:val="4"/>
                <w:szCs w:val="4"/>
              </w:rPr>
            </w:r>
          </w:p>
        </w:tc>
      </w:tr>
      <w:tr>
        <w:trPr>
          <w:trHeight w:val="120" w:hRule="atLeast"/>
        </w:trPr>
        <w:tc>
          <w:tcPr>
            <w:tcW w:w="926" w:type="dxa"/>
            <w:tcBorders/>
            <w:vAlign w:val="center"/>
          </w:tcPr>
          <w:p>
            <w:pPr>
              <w:pStyle w:val="TableContents"/>
              <w:bidi w:val="0"/>
              <w:spacing w:before="0" w:after="283"/>
              <w:jc w:val="left"/>
              <w:rPr>
                <w:sz w:val="4"/>
                <w:szCs w:val="4"/>
              </w:rPr>
            </w:pPr>
            <w:r>
              <w:rPr>
                <w:sz w:val="4"/>
                <w:szCs w:val="4"/>
              </w:rPr>
            </w:r>
          </w:p>
        </w:tc>
        <w:tc>
          <w:tcPr>
            <w:tcW w:w="2557" w:type="dxa"/>
            <w:gridSpan w:val="2"/>
            <w:tcBorders/>
            <w:vAlign w:val="center"/>
          </w:tcPr>
          <w:p>
            <w:pPr>
              <w:pStyle w:val="TableContents"/>
              <w:bidi w:val="0"/>
              <w:spacing w:before="0" w:after="283"/>
              <w:jc w:val="left"/>
              <w:rPr>
                <w:sz w:val="4"/>
                <w:szCs w:val="4"/>
              </w:rPr>
            </w:pPr>
            <w:r>
              <w:rPr>
                <w:sz w:val="4"/>
                <w:szCs w:val="4"/>
              </w:rPr>
            </w:r>
          </w:p>
        </w:tc>
        <w:tc>
          <w:tcPr>
            <w:tcW w:w="825" w:type="dxa"/>
            <w:gridSpan w:val="4"/>
            <w:tcBorders/>
            <w:vAlign w:val="center"/>
          </w:tcPr>
          <w:p>
            <w:pPr>
              <w:pStyle w:val="TableContents"/>
              <w:bidi w:val="0"/>
              <w:spacing w:before="0" w:after="283"/>
              <w:jc w:val="left"/>
              <w:rPr>
                <w:sz w:val="4"/>
                <w:szCs w:val="4"/>
              </w:rPr>
            </w:pPr>
            <w:r>
              <w:rPr>
                <w:sz w:val="4"/>
                <w:szCs w:val="4"/>
              </w:rPr>
            </w:r>
          </w:p>
        </w:tc>
        <w:tc>
          <w:tcPr>
            <w:tcW w:w="1200" w:type="dxa"/>
            <w:gridSpan w:val="4"/>
            <w:tcBorders/>
            <w:vAlign w:val="center"/>
          </w:tcPr>
          <w:p>
            <w:pPr>
              <w:pStyle w:val="TableContents"/>
              <w:bidi w:val="0"/>
              <w:spacing w:before="0" w:after="283"/>
              <w:jc w:val="left"/>
              <w:rPr>
                <w:sz w:val="4"/>
                <w:szCs w:val="4"/>
              </w:rPr>
            </w:pPr>
            <w:r>
              <w:rPr>
                <w:sz w:val="4"/>
                <w:szCs w:val="4"/>
              </w:rPr>
            </w:r>
          </w:p>
        </w:tc>
        <w:tc>
          <w:tcPr>
            <w:tcW w:w="1313" w:type="dxa"/>
            <w:gridSpan w:val="4"/>
            <w:tcBorders/>
            <w:vAlign w:val="center"/>
          </w:tcPr>
          <w:p>
            <w:pPr>
              <w:pStyle w:val="TableContents"/>
              <w:bidi w:val="0"/>
              <w:spacing w:before="0" w:after="283"/>
              <w:jc w:val="left"/>
              <w:rPr>
                <w:sz w:val="4"/>
                <w:szCs w:val="4"/>
              </w:rPr>
            </w:pPr>
            <w:r>
              <w:rPr>
                <w:sz w:val="4"/>
                <w:szCs w:val="4"/>
              </w:rPr>
            </w:r>
          </w:p>
        </w:tc>
        <w:tc>
          <w:tcPr>
            <w:tcW w:w="2153" w:type="dxa"/>
            <w:gridSpan w:val="4"/>
            <w:tcBorders/>
            <w:vAlign w:val="center"/>
          </w:tcPr>
          <w:p>
            <w:pPr>
              <w:pStyle w:val="TableContents"/>
              <w:bidi w:val="0"/>
              <w:spacing w:before="0" w:after="283"/>
              <w:jc w:val="left"/>
              <w:rPr>
                <w:sz w:val="4"/>
                <w:szCs w:val="4"/>
              </w:rPr>
            </w:pPr>
            <w:r>
              <w:rPr>
                <w:sz w:val="4"/>
                <w:szCs w:val="4"/>
              </w:rPr>
            </w:r>
          </w:p>
        </w:tc>
        <w:tc>
          <w:tcPr>
            <w:tcW w:w="1231" w:type="dxa"/>
            <w:gridSpan w:val="4"/>
            <w:tcBorders/>
            <w:vAlign w:val="cente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r>
              <w:rPr/>
              <w:t>5.1</w:t>
            </w:r>
          </w:p>
        </w:tc>
        <w:tc>
          <w:tcPr>
            <w:tcW w:w="181" w:type="dxa"/>
            <w:tcBorders/>
            <w:vAlign w:val="bottom"/>
          </w:tcPr>
          <w:p>
            <w:pPr>
              <w:pStyle w:val="TableContents"/>
              <w:bidi w:val="0"/>
              <w:spacing w:before="0" w:after="283"/>
              <w:jc w:val="left"/>
              <w:rPr/>
            </w:pPr>
            <w:r>
              <w:rPr/>
              <w:t>  </w:t>
            </w:r>
          </w:p>
        </w:tc>
        <w:tc>
          <w:tcPr>
            <w:tcW w:w="2376" w:type="dxa"/>
            <w:tcBorders/>
          </w:tcPr>
          <w:p>
            <w:pPr>
              <w:pStyle w:val="TableContents"/>
              <w:bidi w:val="0"/>
              <w:spacing w:before="0" w:after="283"/>
              <w:jc w:val="left"/>
              <w:rPr/>
            </w:pPr>
            <w:hyperlink w:anchor="d53160dex51.htm">
              <w:r>
                <w:rPr>
                  <w:rStyle w:val="InternetLink"/>
                </w:rPr>
                <w:t xml:space="preserve">Opinion of Cooley LLP </w:t>
              </w:r>
            </w:hyperlink>
          </w:p>
        </w:tc>
        <w:tc>
          <w:tcPr>
            <w:tcW w:w="156"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sz w:val="4"/>
                <w:szCs w:val="4"/>
              </w:rPr>
            </w:pPr>
            <w:r>
              <w:rPr>
                <w:sz w:val="4"/>
                <w:szCs w:val="4"/>
              </w:rPr>
            </w:r>
          </w:p>
        </w:tc>
        <w:tc>
          <w:tcPr>
            <w:tcW w:w="5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924"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69" w:type="dxa"/>
            <w:tcBorders/>
          </w:tcPr>
          <w:p>
            <w:pPr>
              <w:pStyle w:val="TableContents"/>
              <w:bidi w:val="0"/>
              <w:spacing w:before="0" w:after="283"/>
              <w:jc w:val="left"/>
              <w:rPr>
                <w:sz w:val="4"/>
                <w:szCs w:val="4"/>
              </w:rPr>
            </w:pPr>
            <w:r>
              <w:rPr>
                <w:sz w:val="4"/>
                <w:szCs w:val="4"/>
              </w:rPr>
            </w:r>
          </w:p>
        </w:tc>
        <w:tc>
          <w:tcPr>
            <w:tcW w:w="928"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877"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pPr>
            <w:r>
              <w:rPr/>
              <w:t> </w:t>
            </w:r>
          </w:p>
        </w:tc>
        <w:tc>
          <w:tcPr>
            <w:tcW w:w="785" w:type="dxa"/>
            <w:tcBorders/>
          </w:tcPr>
          <w:p>
            <w:pPr>
              <w:pStyle w:val="TableContents"/>
              <w:bidi w:val="0"/>
              <w:spacing w:before="0" w:after="283"/>
              <w:jc w:val="right"/>
              <w:rPr/>
            </w:pPr>
            <w:r>
              <w:rPr/>
              <w:t>X</w:t>
            </w:r>
          </w:p>
        </w:tc>
        <w:tc>
          <w:tcPr>
            <w:tcW w:w="68" w:type="dxa"/>
            <w:tcBorders/>
          </w:tcPr>
          <w:p>
            <w:pPr>
              <w:pStyle w:val="TableContents"/>
              <w:bidi w:val="0"/>
              <w:spacing w:before="0" w:after="283"/>
              <w:jc w:val="left"/>
              <w:rPr/>
            </w:pPr>
            <w:r>
              <w:rPr/>
              <w:t> </w:t>
            </w:r>
          </w:p>
        </w:tc>
      </w:tr>
      <w:tr>
        <w:trPr>
          <w:trHeight w:val="120" w:hRule="atLeast"/>
        </w:trPr>
        <w:tc>
          <w:tcPr>
            <w:tcW w:w="926" w:type="dxa"/>
            <w:tcBorders/>
            <w:vAlign w:val="center"/>
          </w:tcPr>
          <w:p>
            <w:pPr>
              <w:pStyle w:val="TableContents"/>
              <w:bidi w:val="0"/>
              <w:spacing w:before="0" w:after="283"/>
              <w:jc w:val="left"/>
              <w:rPr>
                <w:sz w:val="4"/>
                <w:szCs w:val="4"/>
              </w:rPr>
            </w:pPr>
            <w:r>
              <w:rPr>
                <w:sz w:val="4"/>
                <w:szCs w:val="4"/>
              </w:rPr>
            </w:r>
          </w:p>
        </w:tc>
        <w:tc>
          <w:tcPr>
            <w:tcW w:w="2557" w:type="dxa"/>
            <w:gridSpan w:val="2"/>
            <w:tcBorders/>
            <w:vAlign w:val="center"/>
          </w:tcPr>
          <w:p>
            <w:pPr>
              <w:pStyle w:val="TableContents"/>
              <w:bidi w:val="0"/>
              <w:spacing w:before="0" w:after="283"/>
              <w:jc w:val="left"/>
              <w:rPr>
                <w:sz w:val="4"/>
                <w:szCs w:val="4"/>
              </w:rPr>
            </w:pPr>
            <w:r>
              <w:rPr>
                <w:sz w:val="4"/>
                <w:szCs w:val="4"/>
              </w:rPr>
            </w:r>
          </w:p>
        </w:tc>
        <w:tc>
          <w:tcPr>
            <w:tcW w:w="825" w:type="dxa"/>
            <w:gridSpan w:val="4"/>
            <w:tcBorders/>
            <w:vAlign w:val="center"/>
          </w:tcPr>
          <w:p>
            <w:pPr>
              <w:pStyle w:val="TableContents"/>
              <w:bidi w:val="0"/>
              <w:spacing w:before="0" w:after="283"/>
              <w:jc w:val="left"/>
              <w:rPr>
                <w:sz w:val="4"/>
                <w:szCs w:val="4"/>
              </w:rPr>
            </w:pPr>
            <w:r>
              <w:rPr>
                <w:sz w:val="4"/>
                <w:szCs w:val="4"/>
              </w:rPr>
            </w:r>
          </w:p>
        </w:tc>
        <w:tc>
          <w:tcPr>
            <w:tcW w:w="1200" w:type="dxa"/>
            <w:gridSpan w:val="4"/>
            <w:tcBorders/>
            <w:vAlign w:val="center"/>
          </w:tcPr>
          <w:p>
            <w:pPr>
              <w:pStyle w:val="TableContents"/>
              <w:bidi w:val="0"/>
              <w:spacing w:before="0" w:after="283"/>
              <w:jc w:val="left"/>
              <w:rPr>
                <w:sz w:val="4"/>
                <w:szCs w:val="4"/>
              </w:rPr>
            </w:pPr>
            <w:r>
              <w:rPr>
                <w:sz w:val="4"/>
                <w:szCs w:val="4"/>
              </w:rPr>
            </w:r>
          </w:p>
        </w:tc>
        <w:tc>
          <w:tcPr>
            <w:tcW w:w="1313" w:type="dxa"/>
            <w:gridSpan w:val="4"/>
            <w:tcBorders/>
            <w:vAlign w:val="center"/>
          </w:tcPr>
          <w:p>
            <w:pPr>
              <w:pStyle w:val="TableContents"/>
              <w:bidi w:val="0"/>
              <w:spacing w:before="0" w:after="283"/>
              <w:jc w:val="left"/>
              <w:rPr>
                <w:sz w:val="4"/>
                <w:szCs w:val="4"/>
              </w:rPr>
            </w:pPr>
            <w:r>
              <w:rPr>
                <w:sz w:val="4"/>
                <w:szCs w:val="4"/>
              </w:rPr>
            </w:r>
          </w:p>
        </w:tc>
        <w:tc>
          <w:tcPr>
            <w:tcW w:w="2153" w:type="dxa"/>
            <w:gridSpan w:val="4"/>
            <w:tcBorders/>
            <w:vAlign w:val="center"/>
          </w:tcPr>
          <w:p>
            <w:pPr>
              <w:pStyle w:val="TableContents"/>
              <w:bidi w:val="0"/>
              <w:spacing w:before="0" w:after="283"/>
              <w:jc w:val="left"/>
              <w:rPr>
                <w:sz w:val="4"/>
                <w:szCs w:val="4"/>
              </w:rPr>
            </w:pPr>
            <w:r>
              <w:rPr>
                <w:sz w:val="4"/>
                <w:szCs w:val="4"/>
              </w:rPr>
            </w:r>
          </w:p>
        </w:tc>
        <w:tc>
          <w:tcPr>
            <w:tcW w:w="1231" w:type="dxa"/>
            <w:gridSpan w:val="4"/>
            <w:tcBorders/>
            <w:vAlign w:val="cente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r>
              <w:rPr/>
              <w:t>23.1</w:t>
            </w:r>
          </w:p>
        </w:tc>
        <w:tc>
          <w:tcPr>
            <w:tcW w:w="181" w:type="dxa"/>
            <w:tcBorders/>
            <w:vAlign w:val="bottom"/>
          </w:tcPr>
          <w:p>
            <w:pPr>
              <w:pStyle w:val="TableContents"/>
              <w:bidi w:val="0"/>
              <w:spacing w:before="0" w:after="283"/>
              <w:jc w:val="left"/>
              <w:rPr/>
            </w:pPr>
            <w:r>
              <w:rPr/>
              <w:t>  </w:t>
            </w:r>
          </w:p>
        </w:tc>
        <w:tc>
          <w:tcPr>
            <w:tcW w:w="2376" w:type="dxa"/>
            <w:tcBorders/>
          </w:tcPr>
          <w:p>
            <w:pPr>
              <w:pStyle w:val="TableContents"/>
              <w:bidi w:val="0"/>
              <w:spacing w:before="0" w:after="283"/>
              <w:jc w:val="left"/>
              <w:rPr/>
            </w:pPr>
            <w:hyperlink w:anchor="d53160dex231.htm">
              <w:r>
                <w:rPr>
                  <w:rStyle w:val="InternetLink"/>
                </w:rPr>
                <w:t xml:space="preserve">Consent of Independent Registered Public Accounting Firm </w:t>
              </w:r>
            </w:hyperlink>
          </w:p>
        </w:tc>
        <w:tc>
          <w:tcPr>
            <w:tcW w:w="156"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sz w:val="4"/>
                <w:szCs w:val="4"/>
              </w:rPr>
            </w:pPr>
            <w:r>
              <w:rPr>
                <w:sz w:val="4"/>
                <w:szCs w:val="4"/>
              </w:rPr>
            </w:r>
          </w:p>
        </w:tc>
        <w:tc>
          <w:tcPr>
            <w:tcW w:w="5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924"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69" w:type="dxa"/>
            <w:tcBorders/>
          </w:tcPr>
          <w:p>
            <w:pPr>
              <w:pStyle w:val="TableContents"/>
              <w:bidi w:val="0"/>
              <w:spacing w:before="0" w:after="283"/>
              <w:jc w:val="left"/>
              <w:rPr>
                <w:sz w:val="4"/>
                <w:szCs w:val="4"/>
              </w:rPr>
            </w:pPr>
            <w:r>
              <w:rPr>
                <w:sz w:val="4"/>
                <w:szCs w:val="4"/>
              </w:rPr>
            </w:r>
          </w:p>
        </w:tc>
        <w:tc>
          <w:tcPr>
            <w:tcW w:w="928"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877"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pPr>
            <w:r>
              <w:rPr/>
              <w:t> </w:t>
            </w:r>
          </w:p>
        </w:tc>
        <w:tc>
          <w:tcPr>
            <w:tcW w:w="785" w:type="dxa"/>
            <w:tcBorders/>
          </w:tcPr>
          <w:p>
            <w:pPr>
              <w:pStyle w:val="TableContents"/>
              <w:bidi w:val="0"/>
              <w:spacing w:before="0" w:after="283"/>
              <w:jc w:val="right"/>
              <w:rPr/>
            </w:pPr>
            <w:r>
              <w:rPr/>
              <w:t>X</w:t>
            </w:r>
          </w:p>
        </w:tc>
        <w:tc>
          <w:tcPr>
            <w:tcW w:w="68" w:type="dxa"/>
            <w:tcBorders/>
          </w:tcPr>
          <w:p>
            <w:pPr>
              <w:pStyle w:val="TableContents"/>
              <w:bidi w:val="0"/>
              <w:spacing w:before="0" w:after="283"/>
              <w:jc w:val="left"/>
              <w:rPr/>
            </w:pPr>
            <w:r>
              <w:rPr/>
              <w:t> </w:t>
            </w:r>
          </w:p>
        </w:tc>
      </w:tr>
      <w:tr>
        <w:trPr>
          <w:trHeight w:val="120" w:hRule="atLeast"/>
        </w:trPr>
        <w:tc>
          <w:tcPr>
            <w:tcW w:w="926" w:type="dxa"/>
            <w:tcBorders/>
            <w:vAlign w:val="center"/>
          </w:tcPr>
          <w:p>
            <w:pPr>
              <w:pStyle w:val="TableContents"/>
              <w:bidi w:val="0"/>
              <w:spacing w:before="0" w:after="283"/>
              <w:jc w:val="left"/>
              <w:rPr>
                <w:sz w:val="4"/>
                <w:szCs w:val="4"/>
              </w:rPr>
            </w:pPr>
            <w:r>
              <w:rPr>
                <w:sz w:val="4"/>
                <w:szCs w:val="4"/>
              </w:rPr>
            </w:r>
          </w:p>
        </w:tc>
        <w:tc>
          <w:tcPr>
            <w:tcW w:w="2557" w:type="dxa"/>
            <w:gridSpan w:val="2"/>
            <w:tcBorders/>
            <w:vAlign w:val="center"/>
          </w:tcPr>
          <w:p>
            <w:pPr>
              <w:pStyle w:val="TableContents"/>
              <w:bidi w:val="0"/>
              <w:spacing w:before="0" w:after="283"/>
              <w:jc w:val="left"/>
              <w:rPr>
                <w:sz w:val="4"/>
                <w:szCs w:val="4"/>
              </w:rPr>
            </w:pPr>
            <w:r>
              <w:rPr>
                <w:sz w:val="4"/>
                <w:szCs w:val="4"/>
              </w:rPr>
            </w:r>
          </w:p>
        </w:tc>
        <w:tc>
          <w:tcPr>
            <w:tcW w:w="825" w:type="dxa"/>
            <w:gridSpan w:val="4"/>
            <w:tcBorders/>
            <w:vAlign w:val="center"/>
          </w:tcPr>
          <w:p>
            <w:pPr>
              <w:pStyle w:val="TableContents"/>
              <w:bidi w:val="0"/>
              <w:spacing w:before="0" w:after="283"/>
              <w:jc w:val="left"/>
              <w:rPr>
                <w:sz w:val="4"/>
                <w:szCs w:val="4"/>
              </w:rPr>
            </w:pPr>
            <w:r>
              <w:rPr>
                <w:sz w:val="4"/>
                <w:szCs w:val="4"/>
              </w:rPr>
            </w:r>
          </w:p>
        </w:tc>
        <w:tc>
          <w:tcPr>
            <w:tcW w:w="1200" w:type="dxa"/>
            <w:gridSpan w:val="4"/>
            <w:tcBorders/>
            <w:vAlign w:val="center"/>
          </w:tcPr>
          <w:p>
            <w:pPr>
              <w:pStyle w:val="TableContents"/>
              <w:bidi w:val="0"/>
              <w:spacing w:before="0" w:after="283"/>
              <w:jc w:val="left"/>
              <w:rPr>
                <w:sz w:val="4"/>
                <w:szCs w:val="4"/>
              </w:rPr>
            </w:pPr>
            <w:r>
              <w:rPr>
                <w:sz w:val="4"/>
                <w:szCs w:val="4"/>
              </w:rPr>
            </w:r>
          </w:p>
        </w:tc>
        <w:tc>
          <w:tcPr>
            <w:tcW w:w="1313" w:type="dxa"/>
            <w:gridSpan w:val="4"/>
            <w:tcBorders/>
            <w:vAlign w:val="center"/>
          </w:tcPr>
          <w:p>
            <w:pPr>
              <w:pStyle w:val="TableContents"/>
              <w:bidi w:val="0"/>
              <w:spacing w:before="0" w:after="283"/>
              <w:jc w:val="left"/>
              <w:rPr>
                <w:sz w:val="4"/>
                <w:szCs w:val="4"/>
              </w:rPr>
            </w:pPr>
            <w:r>
              <w:rPr>
                <w:sz w:val="4"/>
                <w:szCs w:val="4"/>
              </w:rPr>
            </w:r>
          </w:p>
        </w:tc>
        <w:tc>
          <w:tcPr>
            <w:tcW w:w="2153" w:type="dxa"/>
            <w:gridSpan w:val="4"/>
            <w:tcBorders/>
            <w:vAlign w:val="center"/>
          </w:tcPr>
          <w:p>
            <w:pPr>
              <w:pStyle w:val="TableContents"/>
              <w:bidi w:val="0"/>
              <w:spacing w:before="0" w:after="283"/>
              <w:jc w:val="left"/>
              <w:rPr>
                <w:sz w:val="4"/>
                <w:szCs w:val="4"/>
              </w:rPr>
            </w:pPr>
            <w:r>
              <w:rPr>
                <w:sz w:val="4"/>
                <w:szCs w:val="4"/>
              </w:rPr>
            </w:r>
          </w:p>
        </w:tc>
        <w:tc>
          <w:tcPr>
            <w:tcW w:w="1231" w:type="dxa"/>
            <w:gridSpan w:val="4"/>
            <w:tcBorders/>
            <w:vAlign w:val="cente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r>
              <w:rPr/>
              <w:t>23.2</w:t>
            </w:r>
          </w:p>
        </w:tc>
        <w:tc>
          <w:tcPr>
            <w:tcW w:w="181" w:type="dxa"/>
            <w:tcBorders/>
            <w:vAlign w:val="bottom"/>
          </w:tcPr>
          <w:p>
            <w:pPr>
              <w:pStyle w:val="TableContents"/>
              <w:bidi w:val="0"/>
              <w:spacing w:before="0" w:after="283"/>
              <w:jc w:val="left"/>
              <w:rPr/>
            </w:pPr>
            <w:r>
              <w:rPr/>
              <w:t>  </w:t>
            </w:r>
          </w:p>
        </w:tc>
        <w:tc>
          <w:tcPr>
            <w:tcW w:w="2376" w:type="dxa"/>
            <w:tcBorders/>
          </w:tcPr>
          <w:p>
            <w:pPr>
              <w:pStyle w:val="TableContents"/>
              <w:bidi w:val="0"/>
              <w:spacing w:before="0" w:after="283"/>
              <w:jc w:val="left"/>
              <w:rPr/>
            </w:pPr>
            <w:hyperlink w:anchor="d53160dex51.htm">
              <w:r>
                <w:rPr>
                  <w:rStyle w:val="InternetLink"/>
                </w:rPr>
                <w:t xml:space="preserve">Consent of Cooley LLP (See Exhibit 5.1) </w:t>
              </w:r>
            </w:hyperlink>
          </w:p>
        </w:tc>
        <w:tc>
          <w:tcPr>
            <w:tcW w:w="156"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sz w:val="4"/>
                <w:szCs w:val="4"/>
              </w:rPr>
            </w:pPr>
            <w:r>
              <w:rPr>
                <w:sz w:val="4"/>
                <w:szCs w:val="4"/>
              </w:rPr>
            </w:r>
          </w:p>
        </w:tc>
        <w:tc>
          <w:tcPr>
            <w:tcW w:w="5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924"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69" w:type="dxa"/>
            <w:tcBorders/>
          </w:tcPr>
          <w:p>
            <w:pPr>
              <w:pStyle w:val="TableContents"/>
              <w:bidi w:val="0"/>
              <w:spacing w:before="0" w:after="283"/>
              <w:jc w:val="left"/>
              <w:rPr>
                <w:sz w:val="4"/>
                <w:szCs w:val="4"/>
              </w:rPr>
            </w:pPr>
            <w:r>
              <w:rPr>
                <w:sz w:val="4"/>
                <w:szCs w:val="4"/>
              </w:rPr>
            </w:r>
          </w:p>
        </w:tc>
        <w:tc>
          <w:tcPr>
            <w:tcW w:w="928"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877"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pPr>
            <w:r>
              <w:rPr/>
              <w:t> </w:t>
            </w:r>
          </w:p>
        </w:tc>
        <w:tc>
          <w:tcPr>
            <w:tcW w:w="785" w:type="dxa"/>
            <w:tcBorders/>
          </w:tcPr>
          <w:p>
            <w:pPr>
              <w:pStyle w:val="TableContents"/>
              <w:bidi w:val="0"/>
              <w:spacing w:before="0" w:after="283"/>
              <w:jc w:val="right"/>
              <w:rPr/>
            </w:pPr>
            <w:r>
              <w:rPr/>
              <w:t>X</w:t>
            </w:r>
          </w:p>
        </w:tc>
        <w:tc>
          <w:tcPr>
            <w:tcW w:w="68" w:type="dxa"/>
            <w:tcBorders/>
          </w:tcPr>
          <w:p>
            <w:pPr>
              <w:pStyle w:val="TableContents"/>
              <w:bidi w:val="0"/>
              <w:spacing w:before="0" w:after="283"/>
              <w:jc w:val="left"/>
              <w:rPr/>
            </w:pPr>
            <w:r>
              <w:rPr/>
              <w:t> </w:t>
            </w:r>
          </w:p>
        </w:tc>
      </w:tr>
      <w:tr>
        <w:trPr>
          <w:trHeight w:val="120" w:hRule="atLeast"/>
        </w:trPr>
        <w:tc>
          <w:tcPr>
            <w:tcW w:w="926" w:type="dxa"/>
            <w:tcBorders/>
            <w:vAlign w:val="center"/>
          </w:tcPr>
          <w:p>
            <w:pPr>
              <w:pStyle w:val="TableContents"/>
              <w:bidi w:val="0"/>
              <w:spacing w:before="0" w:after="283"/>
              <w:jc w:val="left"/>
              <w:rPr>
                <w:sz w:val="4"/>
                <w:szCs w:val="4"/>
              </w:rPr>
            </w:pPr>
            <w:r>
              <w:rPr>
                <w:sz w:val="4"/>
                <w:szCs w:val="4"/>
              </w:rPr>
            </w:r>
          </w:p>
        </w:tc>
        <w:tc>
          <w:tcPr>
            <w:tcW w:w="2557" w:type="dxa"/>
            <w:gridSpan w:val="2"/>
            <w:tcBorders/>
            <w:vAlign w:val="center"/>
          </w:tcPr>
          <w:p>
            <w:pPr>
              <w:pStyle w:val="TableContents"/>
              <w:bidi w:val="0"/>
              <w:spacing w:before="0" w:after="283"/>
              <w:jc w:val="left"/>
              <w:rPr>
                <w:sz w:val="4"/>
                <w:szCs w:val="4"/>
              </w:rPr>
            </w:pPr>
            <w:r>
              <w:rPr>
                <w:sz w:val="4"/>
                <w:szCs w:val="4"/>
              </w:rPr>
            </w:r>
          </w:p>
        </w:tc>
        <w:tc>
          <w:tcPr>
            <w:tcW w:w="825" w:type="dxa"/>
            <w:gridSpan w:val="4"/>
            <w:tcBorders/>
            <w:vAlign w:val="center"/>
          </w:tcPr>
          <w:p>
            <w:pPr>
              <w:pStyle w:val="TableContents"/>
              <w:bidi w:val="0"/>
              <w:spacing w:before="0" w:after="283"/>
              <w:jc w:val="left"/>
              <w:rPr>
                <w:sz w:val="4"/>
                <w:szCs w:val="4"/>
              </w:rPr>
            </w:pPr>
            <w:r>
              <w:rPr>
                <w:sz w:val="4"/>
                <w:szCs w:val="4"/>
              </w:rPr>
            </w:r>
          </w:p>
        </w:tc>
        <w:tc>
          <w:tcPr>
            <w:tcW w:w="1200" w:type="dxa"/>
            <w:gridSpan w:val="4"/>
            <w:tcBorders/>
            <w:vAlign w:val="center"/>
          </w:tcPr>
          <w:p>
            <w:pPr>
              <w:pStyle w:val="TableContents"/>
              <w:bidi w:val="0"/>
              <w:spacing w:before="0" w:after="283"/>
              <w:jc w:val="left"/>
              <w:rPr>
                <w:sz w:val="4"/>
                <w:szCs w:val="4"/>
              </w:rPr>
            </w:pPr>
            <w:r>
              <w:rPr>
                <w:sz w:val="4"/>
                <w:szCs w:val="4"/>
              </w:rPr>
            </w:r>
          </w:p>
        </w:tc>
        <w:tc>
          <w:tcPr>
            <w:tcW w:w="1313" w:type="dxa"/>
            <w:gridSpan w:val="4"/>
            <w:tcBorders/>
            <w:vAlign w:val="center"/>
          </w:tcPr>
          <w:p>
            <w:pPr>
              <w:pStyle w:val="TableContents"/>
              <w:bidi w:val="0"/>
              <w:spacing w:before="0" w:after="283"/>
              <w:jc w:val="left"/>
              <w:rPr>
                <w:sz w:val="4"/>
                <w:szCs w:val="4"/>
              </w:rPr>
            </w:pPr>
            <w:r>
              <w:rPr>
                <w:sz w:val="4"/>
                <w:szCs w:val="4"/>
              </w:rPr>
            </w:r>
          </w:p>
        </w:tc>
        <w:tc>
          <w:tcPr>
            <w:tcW w:w="2153" w:type="dxa"/>
            <w:gridSpan w:val="4"/>
            <w:tcBorders/>
            <w:vAlign w:val="center"/>
          </w:tcPr>
          <w:p>
            <w:pPr>
              <w:pStyle w:val="TableContents"/>
              <w:bidi w:val="0"/>
              <w:spacing w:before="0" w:after="283"/>
              <w:jc w:val="left"/>
              <w:rPr>
                <w:sz w:val="4"/>
                <w:szCs w:val="4"/>
              </w:rPr>
            </w:pPr>
            <w:r>
              <w:rPr>
                <w:sz w:val="4"/>
                <w:szCs w:val="4"/>
              </w:rPr>
            </w:r>
          </w:p>
        </w:tc>
        <w:tc>
          <w:tcPr>
            <w:tcW w:w="1231" w:type="dxa"/>
            <w:gridSpan w:val="4"/>
            <w:tcBorders/>
            <w:vAlign w:val="cente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r>
              <w:rPr/>
              <w:t>24.1</w:t>
            </w:r>
          </w:p>
        </w:tc>
        <w:tc>
          <w:tcPr>
            <w:tcW w:w="181" w:type="dxa"/>
            <w:tcBorders/>
            <w:vAlign w:val="bottom"/>
          </w:tcPr>
          <w:p>
            <w:pPr>
              <w:pStyle w:val="TableContents"/>
              <w:bidi w:val="0"/>
              <w:spacing w:before="0" w:after="283"/>
              <w:jc w:val="left"/>
              <w:rPr/>
            </w:pPr>
            <w:r>
              <w:rPr/>
              <w:t>  </w:t>
            </w:r>
          </w:p>
        </w:tc>
        <w:tc>
          <w:tcPr>
            <w:tcW w:w="2376" w:type="dxa"/>
            <w:tcBorders/>
          </w:tcPr>
          <w:p>
            <w:pPr>
              <w:pStyle w:val="TableContents"/>
              <w:bidi w:val="0"/>
              <w:spacing w:before="0" w:after="283"/>
              <w:jc w:val="left"/>
              <w:rPr/>
            </w:pPr>
            <w:hyperlink w:anchor="sig">
              <w:r>
                <w:rPr>
                  <w:rStyle w:val="InternetLink"/>
                </w:rPr>
                <w:t xml:space="preserve">Power of Attorney (See signature page) </w:t>
              </w:r>
            </w:hyperlink>
          </w:p>
        </w:tc>
        <w:tc>
          <w:tcPr>
            <w:tcW w:w="156"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sz w:val="4"/>
                <w:szCs w:val="4"/>
              </w:rPr>
            </w:pPr>
            <w:r>
              <w:rPr>
                <w:sz w:val="4"/>
                <w:szCs w:val="4"/>
              </w:rPr>
            </w:r>
          </w:p>
        </w:tc>
        <w:tc>
          <w:tcPr>
            <w:tcW w:w="5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924"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69" w:type="dxa"/>
            <w:tcBorders/>
          </w:tcPr>
          <w:p>
            <w:pPr>
              <w:pStyle w:val="TableContents"/>
              <w:bidi w:val="0"/>
              <w:spacing w:before="0" w:after="283"/>
              <w:jc w:val="left"/>
              <w:rPr>
                <w:sz w:val="4"/>
                <w:szCs w:val="4"/>
              </w:rPr>
            </w:pPr>
            <w:r>
              <w:rPr>
                <w:sz w:val="4"/>
                <w:szCs w:val="4"/>
              </w:rPr>
            </w:r>
          </w:p>
        </w:tc>
        <w:tc>
          <w:tcPr>
            <w:tcW w:w="928"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877"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pPr>
            <w:r>
              <w:rPr/>
              <w:t> </w:t>
            </w:r>
          </w:p>
        </w:tc>
        <w:tc>
          <w:tcPr>
            <w:tcW w:w="785" w:type="dxa"/>
            <w:tcBorders/>
          </w:tcPr>
          <w:p>
            <w:pPr>
              <w:pStyle w:val="TableContents"/>
              <w:bidi w:val="0"/>
              <w:spacing w:before="0" w:after="283"/>
              <w:jc w:val="right"/>
              <w:rPr/>
            </w:pPr>
            <w:r>
              <w:rPr/>
              <w:t>X</w:t>
            </w:r>
          </w:p>
        </w:tc>
        <w:tc>
          <w:tcPr>
            <w:tcW w:w="68" w:type="dxa"/>
            <w:tcBorders/>
          </w:tcPr>
          <w:p>
            <w:pPr>
              <w:pStyle w:val="TableContents"/>
              <w:bidi w:val="0"/>
              <w:spacing w:before="0" w:after="283"/>
              <w:jc w:val="left"/>
              <w:rPr/>
            </w:pPr>
            <w:r>
              <w:rPr/>
              <w:t> </w:t>
            </w:r>
          </w:p>
        </w:tc>
      </w:tr>
      <w:tr>
        <w:trPr>
          <w:trHeight w:val="120" w:hRule="atLeast"/>
        </w:trPr>
        <w:tc>
          <w:tcPr>
            <w:tcW w:w="926" w:type="dxa"/>
            <w:tcBorders/>
            <w:vAlign w:val="center"/>
          </w:tcPr>
          <w:p>
            <w:pPr>
              <w:pStyle w:val="TableContents"/>
              <w:bidi w:val="0"/>
              <w:spacing w:before="0" w:after="283"/>
              <w:jc w:val="left"/>
              <w:rPr>
                <w:sz w:val="4"/>
                <w:szCs w:val="4"/>
              </w:rPr>
            </w:pPr>
            <w:r>
              <w:rPr>
                <w:sz w:val="4"/>
                <w:szCs w:val="4"/>
              </w:rPr>
            </w:r>
          </w:p>
        </w:tc>
        <w:tc>
          <w:tcPr>
            <w:tcW w:w="2557" w:type="dxa"/>
            <w:gridSpan w:val="2"/>
            <w:tcBorders/>
            <w:vAlign w:val="center"/>
          </w:tcPr>
          <w:p>
            <w:pPr>
              <w:pStyle w:val="TableContents"/>
              <w:bidi w:val="0"/>
              <w:spacing w:before="0" w:after="283"/>
              <w:jc w:val="left"/>
              <w:rPr>
                <w:sz w:val="4"/>
                <w:szCs w:val="4"/>
              </w:rPr>
            </w:pPr>
            <w:r>
              <w:rPr>
                <w:sz w:val="4"/>
                <w:szCs w:val="4"/>
              </w:rPr>
            </w:r>
          </w:p>
        </w:tc>
        <w:tc>
          <w:tcPr>
            <w:tcW w:w="825" w:type="dxa"/>
            <w:gridSpan w:val="4"/>
            <w:tcBorders/>
            <w:vAlign w:val="center"/>
          </w:tcPr>
          <w:p>
            <w:pPr>
              <w:pStyle w:val="TableContents"/>
              <w:bidi w:val="0"/>
              <w:spacing w:before="0" w:after="283"/>
              <w:jc w:val="left"/>
              <w:rPr>
                <w:sz w:val="4"/>
                <w:szCs w:val="4"/>
              </w:rPr>
            </w:pPr>
            <w:r>
              <w:rPr>
                <w:sz w:val="4"/>
                <w:szCs w:val="4"/>
              </w:rPr>
            </w:r>
          </w:p>
        </w:tc>
        <w:tc>
          <w:tcPr>
            <w:tcW w:w="1200" w:type="dxa"/>
            <w:gridSpan w:val="4"/>
            <w:tcBorders/>
            <w:vAlign w:val="center"/>
          </w:tcPr>
          <w:p>
            <w:pPr>
              <w:pStyle w:val="TableContents"/>
              <w:bidi w:val="0"/>
              <w:spacing w:before="0" w:after="283"/>
              <w:jc w:val="left"/>
              <w:rPr>
                <w:sz w:val="4"/>
                <w:szCs w:val="4"/>
              </w:rPr>
            </w:pPr>
            <w:r>
              <w:rPr>
                <w:sz w:val="4"/>
                <w:szCs w:val="4"/>
              </w:rPr>
            </w:r>
          </w:p>
        </w:tc>
        <w:tc>
          <w:tcPr>
            <w:tcW w:w="1313" w:type="dxa"/>
            <w:gridSpan w:val="4"/>
            <w:tcBorders/>
            <w:vAlign w:val="center"/>
          </w:tcPr>
          <w:p>
            <w:pPr>
              <w:pStyle w:val="TableContents"/>
              <w:bidi w:val="0"/>
              <w:spacing w:before="0" w:after="283"/>
              <w:jc w:val="left"/>
              <w:rPr>
                <w:sz w:val="4"/>
                <w:szCs w:val="4"/>
              </w:rPr>
            </w:pPr>
            <w:r>
              <w:rPr>
                <w:sz w:val="4"/>
                <w:szCs w:val="4"/>
              </w:rPr>
            </w:r>
          </w:p>
        </w:tc>
        <w:tc>
          <w:tcPr>
            <w:tcW w:w="2153" w:type="dxa"/>
            <w:gridSpan w:val="4"/>
            <w:tcBorders/>
            <w:vAlign w:val="center"/>
          </w:tcPr>
          <w:p>
            <w:pPr>
              <w:pStyle w:val="TableContents"/>
              <w:bidi w:val="0"/>
              <w:spacing w:before="0" w:after="283"/>
              <w:jc w:val="left"/>
              <w:rPr>
                <w:sz w:val="4"/>
                <w:szCs w:val="4"/>
              </w:rPr>
            </w:pPr>
            <w:r>
              <w:rPr>
                <w:sz w:val="4"/>
                <w:szCs w:val="4"/>
              </w:rPr>
            </w:r>
          </w:p>
        </w:tc>
        <w:tc>
          <w:tcPr>
            <w:tcW w:w="1231" w:type="dxa"/>
            <w:gridSpan w:val="4"/>
            <w:tcBorders/>
            <w:vAlign w:val="cente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107</w:t>
            </w:r>
          </w:p>
        </w:tc>
        <w:tc>
          <w:tcPr>
            <w:tcW w:w="181" w:type="dxa"/>
            <w:tcBorders/>
            <w:vAlign w:val="bottom"/>
          </w:tcPr>
          <w:p>
            <w:pPr>
              <w:pStyle w:val="TableContents"/>
              <w:bidi w:val="0"/>
              <w:spacing w:before="0" w:after="283"/>
              <w:jc w:val="left"/>
              <w:rPr/>
            </w:pPr>
            <w:r>
              <w:rPr/>
              <w:t>  </w:t>
            </w:r>
          </w:p>
        </w:tc>
        <w:tc>
          <w:tcPr>
            <w:tcW w:w="2376" w:type="dxa"/>
            <w:tcBorders/>
          </w:tcPr>
          <w:p>
            <w:pPr>
              <w:pStyle w:val="TableContents"/>
              <w:bidi w:val="0"/>
              <w:spacing w:before="0" w:after="283"/>
              <w:jc w:val="left"/>
              <w:rPr/>
            </w:pPr>
            <w:hyperlink w:anchor="d53160dexfilingfees.htm">
              <w:r>
                <w:rPr>
                  <w:rStyle w:val="InternetLink"/>
                </w:rPr>
                <w:t xml:space="preserve">Filing Fee Table </w:t>
              </w:r>
            </w:hyperlink>
          </w:p>
        </w:tc>
        <w:tc>
          <w:tcPr>
            <w:tcW w:w="156"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sz w:val="4"/>
                <w:szCs w:val="4"/>
              </w:rPr>
            </w:pPr>
            <w:r>
              <w:rPr>
                <w:sz w:val="4"/>
                <w:szCs w:val="4"/>
              </w:rPr>
            </w:r>
          </w:p>
        </w:tc>
        <w:tc>
          <w:tcPr>
            <w:tcW w:w="5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924"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69" w:type="dxa"/>
            <w:tcBorders/>
          </w:tcPr>
          <w:p>
            <w:pPr>
              <w:pStyle w:val="TableContents"/>
              <w:bidi w:val="0"/>
              <w:spacing w:before="0" w:after="283"/>
              <w:jc w:val="left"/>
              <w:rPr>
                <w:sz w:val="4"/>
                <w:szCs w:val="4"/>
              </w:rPr>
            </w:pPr>
            <w:r>
              <w:rPr>
                <w:sz w:val="4"/>
                <w:szCs w:val="4"/>
              </w:rPr>
            </w:r>
          </w:p>
        </w:tc>
        <w:tc>
          <w:tcPr>
            <w:tcW w:w="928"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877"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pPr>
            <w:r>
              <w:rPr/>
              <w:t> </w:t>
            </w:r>
          </w:p>
        </w:tc>
        <w:tc>
          <w:tcPr>
            <w:tcW w:w="785" w:type="dxa"/>
            <w:tcBorders/>
          </w:tcPr>
          <w:p>
            <w:pPr>
              <w:pStyle w:val="TableContents"/>
              <w:bidi w:val="0"/>
              <w:spacing w:before="0" w:after="283"/>
              <w:jc w:val="right"/>
              <w:rPr/>
            </w:pPr>
            <w:r>
              <w:rPr/>
              <w:t>X</w:t>
            </w:r>
          </w:p>
        </w:tc>
        <w:tc>
          <w:tcPr>
            <w:tcW w:w="68" w:type="dxa"/>
            <w:tcBorders/>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(a) (1)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12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the undertakings set forth in paragraphs (1)(i), (1)(ii) and (1)(iii) above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this registration statement, or are contained in a form of prospectus filed pursuant to Rule 424(b) that is part of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(b)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of the registrant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State of California, on July 13,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Lyell Immunopharma,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Lynn Seely</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Lynn Seely</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President and Chief Executive Officer</w:t>
            </w:r>
          </w:p>
        </w:tc>
      </w:tr>
    </w:tbl>
    <w:p>
      <w:pPr>
        <w:pStyle w:val="TextBody"/>
        <w:bidi w:val="0"/>
        <w:spacing w:before="480" w:after="0"/>
        <w:jc w:val="center"/>
        <w:rPr>
          <w:rFonts w:ascii="Times New Roman" w:hAnsi="Times New Roman"/>
          <w:b/>
          <w:sz w:val="20"/>
        </w:rPr>
      </w:pPr>
      <w:bookmarkStart w:id="14" w:name="sig"/>
      <w:bookmarkEnd w:id="14"/>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Each person whose signature appears below constitutes and appoints Lynn Seely and Smital Shah, and each of them, as her true and lawful attorney-in-fact and agent, each acting alone, with full power of substitution and resubstitution, for her and in her name, place and stead, in any and all capacities, to sign any or all amendments (including post-effective amendments) to this registration statement on Form S-3, and to file the same, with all exhibits thereto, and all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4"/>
        <w:gridCol w:w="120"/>
        <w:gridCol w:w="3511"/>
        <w:gridCol w:w="201"/>
        <w:gridCol w:w="1899"/>
      </w:tblGrid>
      <w:tr>
        <w:trPr/>
        <w:tc>
          <w:tcPr>
            <w:tcW w:w="447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r>
      <w:tr>
        <w:trPr/>
        <w:tc>
          <w:tcPr>
            <w:tcW w:w="4474" w:type="dxa"/>
            <w:tcBorders/>
            <w:vAlign w:val="bottom"/>
          </w:tcPr>
          <w:p>
            <w:pPr>
              <w:pStyle w:val="TableContents"/>
              <w:bidi w:val="0"/>
              <w:spacing w:before="0" w:after="283"/>
              <w:jc w:val="center"/>
              <w:rPr>
                <w:b/>
              </w:rPr>
            </w:pPr>
            <w:r>
              <w:rPr>
                <w:b/>
              </w:rPr>
              <w:t>Signature</w:t>
            </w:r>
          </w:p>
        </w:tc>
        <w:tc>
          <w:tcPr>
            <w:tcW w:w="120" w:type="dxa"/>
            <w:tcBorders/>
            <w:vAlign w:val="bottom"/>
          </w:tcPr>
          <w:p>
            <w:pPr>
              <w:pStyle w:val="TableContents"/>
              <w:bidi w:val="0"/>
              <w:spacing w:before="0" w:after="283"/>
              <w:jc w:val="left"/>
              <w:rPr/>
            </w:pPr>
            <w:r>
              <w:rPr/>
              <w:t>  </w:t>
            </w:r>
          </w:p>
        </w:tc>
        <w:tc>
          <w:tcPr>
            <w:tcW w:w="3511" w:type="dxa"/>
            <w:tcBorders/>
            <w:vAlign w:val="bottom"/>
          </w:tcPr>
          <w:p>
            <w:pPr>
              <w:pStyle w:val="TableContents"/>
              <w:bidi w:val="0"/>
              <w:spacing w:before="0" w:after="283"/>
              <w:jc w:val="center"/>
              <w:rPr>
                <w:b/>
              </w:rPr>
            </w:pPr>
            <w:r>
              <w:rPr>
                <w:b/>
              </w:rPr>
              <w:t>Title</w:t>
            </w:r>
          </w:p>
        </w:tc>
        <w:tc>
          <w:tcPr>
            <w:tcW w:w="201" w:type="dxa"/>
            <w:tcBorders/>
            <w:vAlign w:val="bottom"/>
          </w:tcPr>
          <w:p>
            <w:pPr>
              <w:pStyle w:val="TableContents"/>
              <w:bidi w:val="0"/>
              <w:spacing w:before="0" w:after="283"/>
              <w:jc w:val="left"/>
              <w:rPr/>
            </w:pPr>
            <w:r>
              <w:rPr/>
              <w:t> </w:t>
            </w:r>
          </w:p>
        </w:tc>
        <w:tc>
          <w:tcPr>
            <w:tcW w:w="1899" w:type="dxa"/>
            <w:tcBorders/>
            <w:vAlign w:val="bottom"/>
          </w:tcPr>
          <w:p>
            <w:pPr>
              <w:pStyle w:val="TableContents"/>
              <w:bidi w:val="0"/>
              <w:spacing w:before="0" w:after="283"/>
              <w:jc w:val="center"/>
              <w:rPr>
                <w:b/>
              </w:rPr>
            </w:pPr>
            <w:r>
              <w:rPr>
                <w:b/>
              </w:rPr>
              <w:t>Date</w:t>
            </w:r>
          </w:p>
        </w:tc>
      </w:tr>
      <w:tr>
        <w:trPr>
          <w:trHeight w:val="240" w:hRule="atLeast"/>
        </w:trPr>
        <w:tc>
          <w:tcPr>
            <w:tcW w:w="4474" w:type="dxa"/>
            <w:tcBorders/>
            <w:vAlign w:val="center"/>
          </w:tcPr>
          <w:p>
            <w:pPr>
              <w:pStyle w:val="TableContents"/>
              <w:bidi w:val="0"/>
              <w:spacing w:before="0" w:after="283"/>
              <w:jc w:val="left"/>
              <w:rPr>
                <w:sz w:val="4"/>
                <w:szCs w:val="4"/>
              </w:rPr>
            </w:pPr>
            <w:r>
              <w:rPr>
                <w:sz w:val="4"/>
                <w:szCs w:val="4"/>
              </w:rPr>
            </w:r>
          </w:p>
        </w:tc>
        <w:tc>
          <w:tcPr>
            <w:tcW w:w="3631" w:type="dxa"/>
            <w:gridSpan w:val="2"/>
            <w:tcBorders/>
            <w:vAlign w:val="center"/>
          </w:tcPr>
          <w:p>
            <w:pPr>
              <w:pStyle w:val="TableContents"/>
              <w:bidi w:val="0"/>
              <w:spacing w:before="0" w:after="283"/>
              <w:jc w:val="left"/>
              <w:rPr>
                <w:sz w:val="4"/>
                <w:szCs w:val="4"/>
              </w:rPr>
            </w:pPr>
            <w:r>
              <w:rPr>
                <w:sz w:val="4"/>
                <w:szCs w:val="4"/>
              </w:rPr>
            </w:r>
          </w:p>
        </w:tc>
        <w:tc>
          <w:tcPr>
            <w:tcW w:w="2100" w:type="dxa"/>
            <w:gridSpan w:val="2"/>
            <w:tcBorders/>
            <w:vAlign w:val="center"/>
          </w:tcPr>
          <w:p>
            <w:pPr>
              <w:pStyle w:val="TableContents"/>
              <w:bidi w:val="0"/>
              <w:spacing w:before="0" w:after="283"/>
              <w:jc w:val="left"/>
              <w:rPr>
                <w:sz w:val="4"/>
                <w:szCs w:val="4"/>
              </w:rPr>
            </w:pPr>
            <w:r>
              <w:rPr>
                <w:sz w:val="4"/>
                <w:szCs w:val="4"/>
              </w:rPr>
            </w:r>
          </w:p>
        </w:tc>
      </w:tr>
      <w:tr>
        <w:trPr/>
        <w:tc>
          <w:tcPr>
            <w:tcW w:w="447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LYNN SEELY</w:t>
            </w:r>
          </w:p>
          <w:p>
            <w:pPr>
              <w:pStyle w:val="TableContents"/>
              <w:bidi w:val="0"/>
              <w:spacing w:before="0" w:after="20"/>
              <w:jc w:val="center"/>
              <w:rPr>
                <w:rFonts w:ascii="Times New Roman" w:hAnsi="Times New Roman"/>
                <w:b/>
                <w:sz w:val="20"/>
              </w:rPr>
            </w:pPr>
            <w:r>
              <w:rPr>
                <w:rFonts w:ascii="Times New Roman" w:hAnsi="Times New Roman"/>
                <w:b/>
                <w:sz w:val="20"/>
              </w:rPr>
              <w:t>Lynn Seely, M.D.</w:t>
            </w:r>
          </w:p>
        </w:tc>
        <w:tc>
          <w:tcPr>
            <w:tcW w:w="120" w:type="dxa"/>
            <w:tcBorders/>
            <w:vAlign w:val="bottom"/>
          </w:tcPr>
          <w:p>
            <w:pPr>
              <w:pStyle w:val="TableContents"/>
              <w:bidi w:val="0"/>
              <w:spacing w:before="0" w:after="283"/>
              <w:jc w:val="left"/>
              <w:rPr/>
            </w:pPr>
            <w:r>
              <w:rPr/>
              <w:t>  </w:t>
            </w:r>
          </w:p>
        </w:tc>
        <w:tc>
          <w:tcPr>
            <w:tcW w:w="3511" w:type="dxa"/>
            <w:tcBorders/>
          </w:tcPr>
          <w:p>
            <w:pPr>
              <w:pStyle w:val="TableContents"/>
              <w:bidi w:val="0"/>
              <w:spacing w:before="0" w:after="0"/>
              <w:jc w:val="center"/>
              <w:rPr>
                <w:rFonts w:ascii="Times New Roman" w:hAnsi="Times New Roman"/>
                <w:sz w:val="20"/>
              </w:rPr>
            </w:pPr>
            <w:r>
              <w:rPr>
                <w:rFonts w:ascii="Times New Roman" w:hAnsi="Times New Roman"/>
                <w:sz w:val="20"/>
              </w:rPr>
              <w:t>President, Chief Executive Officer and Director</w:t>
            </w:r>
          </w:p>
          <w:p>
            <w:pPr>
              <w:pStyle w:val="TableContents"/>
              <w:bidi w:val="0"/>
              <w:spacing w:before="0" w:after="20"/>
              <w:jc w:val="center"/>
              <w:rPr>
                <w:rFonts w:ascii="Times New Roman" w:hAnsi="Times New Roman"/>
                <w:i/>
                <w:sz w:val="20"/>
              </w:rPr>
            </w:pPr>
            <w:r>
              <w:rPr>
                <w:rFonts w:ascii="Times New Roman" w:hAnsi="Times New Roman"/>
                <w:i/>
                <w:sz w:val="20"/>
              </w:rPr>
              <w:t>(Principal Executive Officer)</w:t>
            </w:r>
          </w:p>
        </w:tc>
        <w:tc>
          <w:tcPr>
            <w:tcW w:w="201" w:type="dxa"/>
            <w:tcBorders/>
            <w:vAlign w:val="bottom"/>
          </w:tcPr>
          <w:p>
            <w:pPr>
              <w:pStyle w:val="TableContents"/>
              <w:bidi w:val="0"/>
              <w:spacing w:before="0" w:after="283"/>
              <w:jc w:val="left"/>
              <w:rPr/>
            </w:pPr>
            <w:r>
              <w:rPr/>
              <w:t> </w:t>
            </w:r>
          </w:p>
        </w:tc>
        <w:tc>
          <w:tcPr>
            <w:tcW w:w="1899" w:type="dxa"/>
            <w:tcBorders/>
          </w:tcPr>
          <w:p>
            <w:pPr>
              <w:pStyle w:val="TableContents"/>
              <w:bidi w:val="0"/>
              <w:spacing w:before="0" w:after="283"/>
              <w:jc w:val="center"/>
              <w:rPr/>
            </w:pPr>
            <w:r>
              <w:rPr/>
              <w:t>July 13, 2026</w:t>
            </w:r>
          </w:p>
        </w:tc>
      </w:tr>
      <w:tr>
        <w:trPr>
          <w:trHeight w:val="240" w:hRule="atLeast"/>
        </w:trPr>
        <w:tc>
          <w:tcPr>
            <w:tcW w:w="4474" w:type="dxa"/>
            <w:tcBorders/>
            <w:vAlign w:val="center"/>
          </w:tcPr>
          <w:p>
            <w:pPr>
              <w:pStyle w:val="TableContents"/>
              <w:bidi w:val="0"/>
              <w:spacing w:before="0" w:after="283"/>
              <w:jc w:val="left"/>
              <w:rPr>
                <w:sz w:val="4"/>
                <w:szCs w:val="4"/>
              </w:rPr>
            </w:pPr>
            <w:r>
              <w:rPr>
                <w:sz w:val="4"/>
                <w:szCs w:val="4"/>
              </w:rPr>
            </w:r>
          </w:p>
        </w:tc>
        <w:tc>
          <w:tcPr>
            <w:tcW w:w="3631" w:type="dxa"/>
            <w:gridSpan w:val="2"/>
            <w:tcBorders/>
            <w:vAlign w:val="center"/>
          </w:tcPr>
          <w:p>
            <w:pPr>
              <w:pStyle w:val="TableContents"/>
              <w:bidi w:val="0"/>
              <w:spacing w:before="0" w:after="283"/>
              <w:jc w:val="left"/>
              <w:rPr>
                <w:sz w:val="4"/>
                <w:szCs w:val="4"/>
              </w:rPr>
            </w:pPr>
            <w:r>
              <w:rPr>
                <w:sz w:val="4"/>
                <w:szCs w:val="4"/>
              </w:rPr>
            </w:r>
          </w:p>
        </w:tc>
        <w:tc>
          <w:tcPr>
            <w:tcW w:w="2100" w:type="dxa"/>
            <w:gridSpan w:val="2"/>
            <w:tcBorders/>
            <w:vAlign w:val="center"/>
          </w:tcPr>
          <w:p>
            <w:pPr>
              <w:pStyle w:val="TableContents"/>
              <w:bidi w:val="0"/>
              <w:spacing w:before="0" w:after="283"/>
              <w:jc w:val="left"/>
              <w:rPr>
                <w:sz w:val="4"/>
                <w:szCs w:val="4"/>
              </w:rPr>
            </w:pPr>
            <w:r>
              <w:rPr>
                <w:sz w:val="4"/>
                <w:szCs w:val="4"/>
              </w:rPr>
            </w:r>
          </w:p>
        </w:tc>
      </w:tr>
      <w:tr>
        <w:trPr/>
        <w:tc>
          <w:tcPr>
            <w:tcW w:w="447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SMITAL SHAH</w:t>
            </w:r>
          </w:p>
          <w:p>
            <w:pPr>
              <w:pStyle w:val="TableContents"/>
              <w:bidi w:val="0"/>
              <w:spacing w:before="0" w:after="20"/>
              <w:jc w:val="center"/>
              <w:rPr>
                <w:rFonts w:ascii="Times New Roman" w:hAnsi="Times New Roman"/>
                <w:b/>
                <w:sz w:val="20"/>
              </w:rPr>
            </w:pPr>
            <w:r>
              <w:rPr>
                <w:rFonts w:ascii="Times New Roman" w:hAnsi="Times New Roman"/>
                <w:b/>
                <w:sz w:val="20"/>
              </w:rPr>
              <w:t>Smital Shah</w:t>
            </w:r>
          </w:p>
        </w:tc>
        <w:tc>
          <w:tcPr>
            <w:tcW w:w="120" w:type="dxa"/>
            <w:tcBorders/>
            <w:vAlign w:val="bottom"/>
          </w:tcPr>
          <w:p>
            <w:pPr>
              <w:pStyle w:val="TableContents"/>
              <w:bidi w:val="0"/>
              <w:spacing w:before="0" w:after="283"/>
              <w:jc w:val="left"/>
              <w:rPr/>
            </w:pPr>
            <w:r>
              <w:rPr/>
              <w:t>  </w:t>
            </w:r>
          </w:p>
        </w:tc>
        <w:tc>
          <w:tcPr>
            <w:tcW w:w="3511"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and Business Officer</w:t>
            </w:r>
          </w:p>
          <w:p>
            <w:pPr>
              <w:pStyle w:val="TableContents"/>
              <w:bidi w:val="0"/>
              <w:spacing w:before="0" w:after="20"/>
              <w:jc w:val="center"/>
              <w:rPr>
                <w:rFonts w:ascii="Times New Roman" w:hAnsi="Times New Roman"/>
                <w:i/>
                <w:sz w:val="20"/>
              </w:rPr>
            </w:pPr>
            <w:r>
              <w:rPr>
                <w:rFonts w:ascii="Times New Roman" w:hAnsi="Times New Roman"/>
                <w:i/>
                <w:sz w:val="20"/>
              </w:rPr>
              <w:t>(Principal Financial Officer)</w:t>
            </w:r>
          </w:p>
        </w:tc>
        <w:tc>
          <w:tcPr>
            <w:tcW w:w="201" w:type="dxa"/>
            <w:tcBorders/>
            <w:vAlign w:val="bottom"/>
          </w:tcPr>
          <w:p>
            <w:pPr>
              <w:pStyle w:val="TableContents"/>
              <w:bidi w:val="0"/>
              <w:spacing w:before="0" w:after="283"/>
              <w:jc w:val="left"/>
              <w:rPr/>
            </w:pPr>
            <w:r>
              <w:rPr/>
              <w:t> </w:t>
            </w:r>
          </w:p>
        </w:tc>
        <w:tc>
          <w:tcPr>
            <w:tcW w:w="1899" w:type="dxa"/>
            <w:tcBorders/>
          </w:tcPr>
          <w:p>
            <w:pPr>
              <w:pStyle w:val="TableContents"/>
              <w:bidi w:val="0"/>
              <w:spacing w:before="0" w:after="283"/>
              <w:jc w:val="center"/>
              <w:rPr/>
            </w:pPr>
            <w:r>
              <w:rPr/>
              <w:t>July 13, 2026</w:t>
            </w:r>
          </w:p>
        </w:tc>
      </w:tr>
      <w:tr>
        <w:trPr>
          <w:trHeight w:val="240" w:hRule="atLeast"/>
        </w:trPr>
        <w:tc>
          <w:tcPr>
            <w:tcW w:w="4474" w:type="dxa"/>
            <w:tcBorders/>
            <w:vAlign w:val="center"/>
          </w:tcPr>
          <w:p>
            <w:pPr>
              <w:pStyle w:val="TableContents"/>
              <w:bidi w:val="0"/>
              <w:spacing w:before="0" w:after="283"/>
              <w:jc w:val="left"/>
              <w:rPr>
                <w:sz w:val="4"/>
                <w:szCs w:val="4"/>
              </w:rPr>
            </w:pPr>
            <w:r>
              <w:rPr>
                <w:sz w:val="4"/>
                <w:szCs w:val="4"/>
              </w:rPr>
            </w:r>
          </w:p>
        </w:tc>
        <w:tc>
          <w:tcPr>
            <w:tcW w:w="3631" w:type="dxa"/>
            <w:gridSpan w:val="2"/>
            <w:tcBorders/>
            <w:vAlign w:val="center"/>
          </w:tcPr>
          <w:p>
            <w:pPr>
              <w:pStyle w:val="TableContents"/>
              <w:bidi w:val="0"/>
              <w:spacing w:before="0" w:after="283"/>
              <w:jc w:val="left"/>
              <w:rPr>
                <w:sz w:val="4"/>
                <w:szCs w:val="4"/>
              </w:rPr>
            </w:pPr>
            <w:r>
              <w:rPr>
                <w:sz w:val="4"/>
                <w:szCs w:val="4"/>
              </w:rPr>
            </w:r>
          </w:p>
        </w:tc>
        <w:tc>
          <w:tcPr>
            <w:tcW w:w="2100" w:type="dxa"/>
            <w:gridSpan w:val="2"/>
            <w:tcBorders/>
            <w:vAlign w:val="center"/>
          </w:tcPr>
          <w:p>
            <w:pPr>
              <w:pStyle w:val="TableContents"/>
              <w:bidi w:val="0"/>
              <w:spacing w:before="0" w:after="283"/>
              <w:jc w:val="left"/>
              <w:rPr>
                <w:sz w:val="4"/>
                <w:szCs w:val="4"/>
              </w:rPr>
            </w:pPr>
            <w:r>
              <w:rPr>
                <w:sz w:val="4"/>
                <w:szCs w:val="4"/>
              </w:rPr>
            </w:r>
          </w:p>
        </w:tc>
      </w:tr>
      <w:tr>
        <w:trPr/>
        <w:tc>
          <w:tcPr>
            <w:tcW w:w="447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VERONICA SANCHEZ</w:t>
            </w:r>
          </w:p>
          <w:p>
            <w:pPr>
              <w:pStyle w:val="TableContents"/>
              <w:bidi w:val="0"/>
              <w:spacing w:before="0" w:after="20"/>
              <w:jc w:val="center"/>
              <w:rPr>
                <w:rFonts w:ascii="Times New Roman" w:hAnsi="Times New Roman"/>
                <w:b/>
                <w:sz w:val="20"/>
              </w:rPr>
            </w:pPr>
            <w:r>
              <w:rPr>
                <w:rFonts w:ascii="Times New Roman" w:hAnsi="Times New Roman"/>
                <w:b/>
                <w:sz w:val="20"/>
              </w:rPr>
              <w:t>Veronica Sanchez</w:t>
            </w:r>
          </w:p>
        </w:tc>
        <w:tc>
          <w:tcPr>
            <w:tcW w:w="120" w:type="dxa"/>
            <w:tcBorders/>
            <w:vAlign w:val="bottom"/>
          </w:tcPr>
          <w:p>
            <w:pPr>
              <w:pStyle w:val="TableContents"/>
              <w:bidi w:val="0"/>
              <w:spacing w:before="0" w:after="283"/>
              <w:jc w:val="left"/>
              <w:rPr/>
            </w:pPr>
            <w:r>
              <w:rPr/>
              <w:t>  </w:t>
            </w:r>
          </w:p>
        </w:tc>
        <w:tc>
          <w:tcPr>
            <w:tcW w:w="3511" w:type="dxa"/>
            <w:tcBorders/>
          </w:tcPr>
          <w:p>
            <w:pPr>
              <w:pStyle w:val="TableContents"/>
              <w:bidi w:val="0"/>
              <w:spacing w:before="0" w:after="0"/>
              <w:jc w:val="center"/>
              <w:rPr>
                <w:rFonts w:ascii="Times New Roman" w:hAnsi="Times New Roman"/>
                <w:sz w:val="20"/>
              </w:rPr>
            </w:pPr>
            <w:r>
              <w:rPr>
                <w:rFonts w:ascii="Times New Roman" w:hAnsi="Times New Roman"/>
                <w:sz w:val="20"/>
              </w:rPr>
              <w:t>VP, Controller</w:t>
            </w:r>
          </w:p>
          <w:p>
            <w:pPr>
              <w:pStyle w:val="TableContents"/>
              <w:bidi w:val="0"/>
              <w:spacing w:before="0" w:after="20"/>
              <w:jc w:val="center"/>
              <w:rPr>
                <w:rFonts w:ascii="Times New Roman" w:hAnsi="Times New Roman"/>
                <w:i/>
                <w:sz w:val="20"/>
              </w:rPr>
            </w:pPr>
            <w:r>
              <w:rPr>
                <w:rFonts w:ascii="Times New Roman" w:hAnsi="Times New Roman"/>
                <w:i/>
                <w:sz w:val="20"/>
              </w:rPr>
              <w:t>(Principal Accounting Officer)</w:t>
            </w:r>
          </w:p>
        </w:tc>
        <w:tc>
          <w:tcPr>
            <w:tcW w:w="201" w:type="dxa"/>
            <w:tcBorders/>
            <w:vAlign w:val="bottom"/>
          </w:tcPr>
          <w:p>
            <w:pPr>
              <w:pStyle w:val="TableContents"/>
              <w:bidi w:val="0"/>
              <w:spacing w:before="0" w:after="283"/>
              <w:jc w:val="left"/>
              <w:rPr/>
            </w:pPr>
            <w:r>
              <w:rPr/>
              <w:t> </w:t>
            </w:r>
          </w:p>
        </w:tc>
        <w:tc>
          <w:tcPr>
            <w:tcW w:w="1899" w:type="dxa"/>
            <w:tcBorders/>
          </w:tcPr>
          <w:p>
            <w:pPr>
              <w:pStyle w:val="TableContents"/>
              <w:bidi w:val="0"/>
              <w:spacing w:before="0" w:after="283"/>
              <w:jc w:val="center"/>
              <w:rPr/>
            </w:pPr>
            <w:r>
              <w:rPr/>
              <w:t>July 13, 2026</w:t>
            </w:r>
          </w:p>
        </w:tc>
      </w:tr>
      <w:tr>
        <w:trPr>
          <w:trHeight w:val="240" w:hRule="atLeast"/>
        </w:trPr>
        <w:tc>
          <w:tcPr>
            <w:tcW w:w="4474" w:type="dxa"/>
            <w:tcBorders/>
            <w:vAlign w:val="center"/>
          </w:tcPr>
          <w:p>
            <w:pPr>
              <w:pStyle w:val="TableContents"/>
              <w:bidi w:val="0"/>
              <w:spacing w:before="0" w:after="283"/>
              <w:jc w:val="left"/>
              <w:rPr>
                <w:sz w:val="4"/>
                <w:szCs w:val="4"/>
              </w:rPr>
            </w:pPr>
            <w:r>
              <w:rPr>
                <w:sz w:val="4"/>
                <w:szCs w:val="4"/>
              </w:rPr>
            </w:r>
          </w:p>
        </w:tc>
        <w:tc>
          <w:tcPr>
            <w:tcW w:w="3631" w:type="dxa"/>
            <w:gridSpan w:val="2"/>
            <w:tcBorders/>
            <w:vAlign w:val="center"/>
          </w:tcPr>
          <w:p>
            <w:pPr>
              <w:pStyle w:val="TableContents"/>
              <w:bidi w:val="0"/>
              <w:spacing w:before="0" w:after="283"/>
              <w:jc w:val="left"/>
              <w:rPr>
                <w:sz w:val="4"/>
                <w:szCs w:val="4"/>
              </w:rPr>
            </w:pPr>
            <w:r>
              <w:rPr>
                <w:sz w:val="4"/>
                <w:szCs w:val="4"/>
              </w:rPr>
            </w:r>
          </w:p>
        </w:tc>
        <w:tc>
          <w:tcPr>
            <w:tcW w:w="2100" w:type="dxa"/>
            <w:gridSpan w:val="2"/>
            <w:tcBorders/>
            <w:vAlign w:val="center"/>
          </w:tcPr>
          <w:p>
            <w:pPr>
              <w:pStyle w:val="TableContents"/>
              <w:bidi w:val="0"/>
              <w:spacing w:before="0" w:after="283"/>
              <w:jc w:val="left"/>
              <w:rPr>
                <w:sz w:val="4"/>
                <w:szCs w:val="4"/>
              </w:rPr>
            </w:pPr>
            <w:r>
              <w:rPr>
                <w:sz w:val="4"/>
                <w:szCs w:val="4"/>
              </w:rPr>
            </w:r>
          </w:p>
        </w:tc>
      </w:tr>
      <w:tr>
        <w:trPr/>
        <w:tc>
          <w:tcPr>
            <w:tcW w:w="447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RICHARD D. KLAUSNER</w:t>
            </w:r>
          </w:p>
          <w:p>
            <w:pPr>
              <w:pStyle w:val="TableContents"/>
              <w:bidi w:val="0"/>
              <w:spacing w:before="0" w:after="20"/>
              <w:jc w:val="center"/>
              <w:rPr>
                <w:rFonts w:ascii="Times New Roman" w:hAnsi="Times New Roman"/>
                <w:b/>
                <w:sz w:val="20"/>
              </w:rPr>
            </w:pPr>
            <w:r>
              <w:rPr>
                <w:rFonts w:ascii="Times New Roman" w:hAnsi="Times New Roman"/>
                <w:b/>
                <w:sz w:val="20"/>
              </w:rPr>
              <w:t>Richard D. Klausner, M.D.</w:t>
            </w:r>
          </w:p>
        </w:tc>
        <w:tc>
          <w:tcPr>
            <w:tcW w:w="120" w:type="dxa"/>
            <w:tcBorders/>
            <w:vAlign w:val="bottom"/>
          </w:tcPr>
          <w:p>
            <w:pPr>
              <w:pStyle w:val="TableContents"/>
              <w:bidi w:val="0"/>
              <w:spacing w:before="0" w:after="283"/>
              <w:jc w:val="left"/>
              <w:rPr/>
            </w:pPr>
            <w:r>
              <w:rPr/>
              <w:t>  </w:t>
            </w:r>
          </w:p>
        </w:tc>
        <w:tc>
          <w:tcPr>
            <w:tcW w:w="3511" w:type="dxa"/>
            <w:tcBorders/>
          </w:tcPr>
          <w:p>
            <w:pPr>
              <w:pStyle w:val="TableContents"/>
              <w:bidi w:val="0"/>
              <w:spacing w:before="0" w:after="0"/>
              <w:jc w:val="center"/>
              <w:rPr>
                <w:rFonts w:ascii="Times New Roman" w:hAnsi="Times New Roman"/>
                <w:sz w:val="20"/>
              </w:rPr>
            </w:pPr>
            <w:r>
              <w:rPr>
                <w:rFonts w:ascii="Times New Roman" w:hAnsi="Times New Roman"/>
                <w:sz w:val="20"/>
              </w:rPr>
              <w:t>Chair of the Board of Directors</w:t>
            </w:r>
          </w:p>
        </w:tc>
        <w:tc>
          <w:tcPr>
            <w:tcW w:w="201" w:type="dxa"/>
            <w:tcBorders/>
            <w:vAlign w:val="bottom"/>
          </w:tcPr>
          <w:p>
            <w:pPr>
              <w:pStyle w:val="TableContents"/>
              <w:bidi w:val="0"/>
              <w:spacing w:before="0" w:after="283"/>
              <w:jc w:val="left"/>
              <w:rPr/>
            </w:pPr>
            <w:r>
              <w:rPr/>
              <w:t> </w:t>
            </w:r>
          </w:p>
        </w:tc>
        <w:tc>
          <w:tcPr>
            <w:tcW w:w="1899" w:type="dxa"/>
            <w:tcBorders/>
          </w:tcPr>
          <w:p>
            <w:pPr>
              <w:pStyle w:val="TableContents"/>
              <w:bidi w:val="0"/>
              <w:spacing w:before="0" w:after="283"/>
              <w:jc w:val="center"/>
              <w:rPr/>
            </w:pPr>
            <w:r>
              <w:rPr/>
              <w:t>July 13, 2026</w:t>
            </w:r>
          </w:p>
        </w:tc>
      </w:tr>
      <w:tr>
        <w:trPr>
          <w:trHeight w:val="240" w:hRule="atLeast"/>
        </w:trPr>
        <w:tc>
          <w:tcPr>
            <w:tcW w:w="4474" w:type="dxa"/>
            <w:tcBorders/>
            <w:vAlign w:val="center"/>
          </w:tcPr>
          <w:p>
            <w:pPr>
              <w:pStyle w:val="TableContents"/>
              <w:bidi w:val="0"/>
              <w:spacing w:before="0" w:after="283"/>
              <w:jc w:val="left"/>
              <w:rPr>
                <w:sz w:val="4"/>
                <w:szCs w:val="4"/>
              </w:rPr>
            </w:pPr>
            <w:r>
              <w:rPr>
                <w:sz w:val="4"/>
                <w:szCs w:val="4"/>
              </w:rPr>
            </w:r>
          </w:p>
        </w:tc>
        <w:tc>
          <w:tcPr>
            <w:tcW w:w="3631" w:type="dxa"/>
            <w:gridSpan w:val="2"/>
            <w:tcBorders/>
            <w:vAlign w:val="center"/>
          </w:tcPr>
          <w:p>
            <w:pPr>
              <w:pStyle w:val="TableContents"/>
              <w:bidi w:val="0"/>
              <w:spacing w:before="0" w:after="283"/>
              <w:jc w:val="left"/>
              <w:rPr>
                <w:sz w:val="4"/>
                <w:szCs w:val="4"/>
              </w:rPr>
            </w:pPr>
            <w:r>
              <w:rPr>
                <w:sz w:val="4"/>
                <w:szCs w:val="4"/>
              </w:rPr>
            </w:r>
          </w:p>
        </w:tc>
        <w:tc>
          <w:tcPr>
            <w:tcW w:w="2100" w:type="dxa"/>
            <w:gridSpan w:val="2"/>
            <w:tcBorders/>
            <w:vAlign w:val="center"/>
          </w:tcPr>
          <w:p>
            <w:pPr>
              <w:pStyle w:val="TableContents"/>
              <w:bidi w:val="0"/>
              <w:spacing w:before="0" w:after="283"/>
              <w:jc w:val="left"/>
              <w:rPr>
                <w:sz w:val="4"/>
                <w:szCs w:val="4"/>
              </w:rPr>
            </w:pPr>
            <w:r>
              <w:rPr>
                <w:sz w:val="4"/>
                <w:szCs w:val="4"/>
              </w:rPr>
            </w:r>
          </w:p>
        </w:tc>
      </w:tr>
      <w:tr>
        <w:trPr/>
        <w:tc>
          <w:tcPr>
            <w:tcW w:w="447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MARK BACHLEDA</w:t>
            </w:r>
          </w:p>
          <w:p>
            <w:pPr>
              <w:pStyle w:val="TableContents"/>
              <w:bidi w:val="0"/>
              <w:spacing w:before="0" w:after="20"/>
              <w:jc w:val="center"/>
              <w:rPr>
                <w:rFonts w:ascii="Times New Roman" w:hAnsi="Times New Roman"/>
                <w:b/>
                <w:sz w:val="20"/>
              </w:rPr>
            </w:pPr>
            <w:r>
              <w:rPr>
                <w:rFonts w:ascii="Times New Roman" w:hAnsi="Times New Roman"/>
                <w:b/>
                <w:sz w:val="20"/>
              </w:rPr>
              <w:t>Mark Bachleda, Pharm.D.</w:t>
            </w:r>
          </w:p>
        </w:tc>
        <w:tc>
          <w:tcPr>
            <w:tcW w:w="120" w:type="dxa"/>
            <w:tcBorders/>
            <w:vAlign w:val="bottom"/>
          </w:tcPr>
          <w:p>
            <w:pPr>
              <w:pStyle w:val="TableContents"/>
              <w:bidi w:val="0"/>
              <w:spacing w:before="0" w:after="283"/>
              <w:jc w:val="left"/>
              <w:rPr/>
            </w:pPr>
            <w:r>
              <w:rPr/>
              <w:t>  </w:t>
            </w:r>
          </w:p>
        </w:tc>
        <w:tc>
          <w:tcPr>
            <w:tcW w:w="3511"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1" w:type="dxa"/>
            <w:tcBorders/>
            <w:vAlign w:val="bottom"/>
          </w:tcPr>
          <w:p>
            <w:pPr>
              <w:pStyle w:val="TableContents"/>
              <w:bidi w:val="0"/>
              <w:spacing w:before="0" w:after="283"/>
              <w:jc w:val="left"/>
              <w:rPr/>
            </w:pPr>
            <w:r>
              <w:rPr/>
              <w:t> </w:t>
            </w:r>
          </w:p>
        </w:tc>
        <w:tc>
          <w:tcPr>
            <w:tcW w:w="1899" w:type="dxa"/>
            <w:tcBorders/>
          </w:tcPr>
          <w:p>
            <w:pPr>
              <w:pStyle w:val="TableContents"/>
              <w:bidi w:val="0"/>
              <w:spacing w:before="0" w:after="283"/>
              <w:jc w:val="center"/>
              <w:rPr/>
            </w:pPr>
            <w:r>
              <w:rPr/>
              <w:t>July 13, 2026</w:t>
            </w:r>
          </w:p>
        </w:tc>
      </w:tr>
      <w:tr>
        <w:trPr>
          <w:trHeight w:val="240" w:hRule="atLeast"/>
        </w:trPr>
        <w:tc>
          <w:tcPr>
            <w:tcW w:w="4474" w:type="dxa"/>
            <w:tcBorders/>
            <w:vAlign w:val="center"/>
          </w:tcPr>
          <w:p>
            <w:pPr>
              <w:pStyle w:val="TableContents"/>
              <w:bidi w:val="0"/>
              <w:spacing w:before="0" w:after="283"/>
              <w:jc w:val="left"/>
              <w:rPr>
                <w:sz w:val="4"/>
                <w:szCs w:val="4"/>
              </w:rPr>
            </w:pPr>
            <w:r>
              <w:rPr>
                <w:sz w:val="4"/>
                <w:szCs w:val="4"/>
              </w:rPr>
            </w:r>
          </w:p>
        </w:tc>
        <w:tc>
          <w:tcPr>
            <w:tcW w:w="3631" w:type="dxa"/>
            <w:gridSpan w:val="2"/>
            <w:tcBorders/>
            <w:vAlign w:val="center"/>
          </w:tcPr>
          <w:p>
            <w:pPr>
              <w:pStyle w:val="TableContents"/>
              <w:bidi w:val="0"/>
              <w:spacing w:before="0" w:after="283"/>
              <w:jc w:val="left"/>
              <w:rPr>
                <w:sz w:val="4"/>
                <w:szCs w:val="4"/>
              </w:rPr>
            </w:pPr>
            <w:r>
              <w:rPr>
                <w:sz w:val="4"/>
                <w:szCs w:val="4"/>
              </w:rPr>
            </w:r>
          </w:p>
        </w:tc>
        <w:tc>
          <w:tcPr>
            <w:tcW w:w="2100" w:type="dxa"/>
            <w:gridSpan w:val="2"/>
            <w:tcBorders/>
            <w:vAlign w:val="center"/>
          </w:tcPr>
          <w:p>
            <w:pPr>
              <w:pStyle w:val="TableContents"/>
              <w:bidi w:val="0"/>
              <w:spacing w:before="0" w:after="283"/>
              <w:jc w:val="left"/>
              <w:rPr>
                <w:sz w:val="4"/>
                <w:szCs w:val="4"/>
              </w:rPr>
            </w:pPr>
            <w:r>
              <w:rPr>
                <w:sz w:val="4"/>
                <w:szCs w:val="4"/>
              </w:rPr>
            </w:r>
          </w:p>
        </w:tc>
      </w:tr>
      <w:tr>
        <w:trPr/>
        <w:tc>
          <w:tcPr>
            <w:tcW w:w="447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OTIS BRAWLEY</w:t>
            </w:r>
          </w:p>
          <w:p>
            <w:pPr>
              <w:pStyle w:val="TableContents"/>
              <w:bidi w:val="0"/>
              <w:spacing w:before="0" w:after="20"/>
              <w:jc w:val="center"/>
              <w:rPr>
                <w:rFonts w:ascii="Times New Roman" w:hAnsi="Times New Roman"/>
                <w:b/>
                <w:sz w:val="20"/>
              </w:rPr>
            </w:pPr>
            <w:r>
              <w:rPr>
                <w:rFonts w:ascii="Times New Roman" w:hAnsi="Times New Roman"/>
                <w:b/>
                <w:sz w:val="20"/>
              </w:rPr>
              <w:t>Otis Brawley, M.D.</w:t>
            </w:r>
          </w:p>
        </w:tc>
        <w:tc>
          <w:tcPr>
            <w:tcW w:w="120" w:type="dxa"/>
            <w:tcBorders/>
            <w:vAlign w:val="bottom"/>
          </w:tcPr>
          <w:p>
            <w:pPr>
              <w:pStyle w:val="TableContents"/>
              <w:bidi w:val="0"/>
              <w:spacing w:before="0" w:after="283"/>
              <w:jc w:val="left"/>
              <w:rPr/>
            </w:pPr>
            <w:r>
              <w:rPr/>
              <w:t>  </w:t>
            </w:r>
          </w:p>
        </w:tc>
        <w:tc>
          <w:tcPr>
            <w:tcW w:w="3511"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1" w:type="dxa"/>
            <w:tcBorders/>
            <w:vAlign w:val="bottom"/>
          </w:tcPr>
          <w:p>
            <w:pPr>
              <w:pStyle w:val="TableContents"/>
              <w:bidi w:val="0"/>
              <w:spacing w:before="0" w:after="283"/>
              <w:jc w:val="left"/>
              <w:rPr/>
            </w:pPr>
            <w:r>
              <w:rPr/>
              <w:t> </w:t>
            </w:r>
          </w:p>
        </w:tc>
        <w:tc>
          <w:tcPr>
            <w:tcW w:w="1899" w:type="dxa"/>
            <w:tcBorders/>
          </w:tcPr>
          <w:p>
            <w:pPr>
              <w:pStyle w:val="TableContents"/>
              <w:bidi w:val="0"/>
              <w:spacing w:before="0" w:after="20"/>
              <w:jc w:val="center"/>
              <w:rPr>
                <w:rFonts w:ascii="Times New Roman" w:hAnsi="Times New Roman"/>
                <w:sz w:val="20"/>
              </w:rPr>
            </w:pPr>
            <w:r>
              <w:rPr>
                <w:rFonts w:ascii="Times New Roman" w:hAnsi="Times New Roman"/>
                <w:sz w:val="20"/>
              </w:rPr>
              <w:t>July 13, 2026</w:t>
            </w:r>
          </w:p>
        </w:tc>
      </w:tr>
      <w:tr>
        <w:trPr>
          <w:trHeight w:val="240" w:hRule="atLeast"/>
        </w:trPr>
        <w:tc>
          <w:tcPr>
            <w:tcW w:w="4474" w:type="dxa"/>
            <w:tcBorders/>
            <w:vAlign w:val="center"/>
          </w:tcPr>
          <w:p>
            <w:pPr>
              <w:pStyle w:val="TableContents"/>
              <w:bidi w:val="0"/>
              <w:spacing w:before="0" w:after="283"/>
              <w:jc w:val="left"/>
              <w:rPr>
                <w:sz w:val="4"/>
                <w:szCs w:val="4"/>
              </w:rPr>
            </w:pPr>
            <w:r>
              <w:rPr>
                <w:sz w:val="4"/>
                <w:szCs w:val="4"/>
              </w:rPr>
            </w:r>
          </w:p>
        </w:tc>
        <w:tc>
          <w:tcPr>
            <w:tcW w:w="3631" w:type="dxa"/>
            <w:gridSpan w:val="2"/>
            <w:tcBorders/>
            <w:vAlign w:val="center"/>
          </w:tcPr>
          <w:p>
            <w:pPr>
              <w:pStyle w:val="TableContents"/>
              <w:bidi w:val="0"/>
              <w:spacing w:before="0" w:after="283"/>
              <w:jc w:val="left"/>
              <w:rPr>
                <w:sz w:val="4"/>
                <w:szCs w:val="4"/>
              </w:rPr>
            </w:pPr>
            <w:r>
              <w:rPr>
                <w:sz w:val="4"/>
                <w:szCs w:val="4"/>
              </w:rPr>
            </w:r>
          </w:p>
        </w:tc>
        <w:tc>
          <w:tcPr>
            <w:tcW w:w="2100" w:type="dxa"/>
            <w:gridSpan w:val="2"/>
            <w:tcBorders/>
            <w:vAlign w:val="center"/>
          </w:tcPr>
          <w:p>
            <w:pPr>
              <w:pStyle w:val="TableContents"/>
              <w:bidi w:val="0"/>
              <w:spacing w:before="0" w:after="283"/>
              <w:jc w:val="left"/>
              <w:rPr>
                <w:sz w:val="4"/>
                <w:szCs w:val="4"/>
              </w:rPr>
            </w:pPr>
            <w:r>
              <w:rPr>
                <w:sz w:val="4"/>
                <w:szCs w:val="4"/>
              </w:rPr>
            </w:r>
          </w:p>
        </w:tc>
      </w:tr>
      <w:tr>
        <w:trPr/>
        <w:tc>
          <w:tcPr>
            <w:tcW w:w="447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CATHERINE FRIEDMAN</w:t>
            </w:r>
          </w:p>
          <w:p>
            <w:pPr>
              <w:pStyle w:val="TableContents"/>
              <w:bidi w:val="0"/>
              <w:spacing w:before="0" w:after="20"/>
              <w:jc w:val="center"/>
              <w:rPr>
                <w:rFonts w:ascii="Times New Roman" w:hAnsi="Times New Roman"/>
                <w:b/>
                <w:sz w:val="20"/>
              </w:rPr>
            </w:pPr>
            <w:r>
              <w:rPr>
                <w:rFonts w:ascii="Times New Roman" w:hAnsi="Times New Roman"/>
                <w:b/>
                <w:sz w:val="20"/>
              </w:rPr>
              <w:t>Catherine Friedman</w:t>
            </w:r>
          </w:p>
        </w:tc>
        <w:tc>
          <w:tcPr>
            <w:tcW w:w="120" w:type="dxa"/>
            <w:tcBorders/>
            <w:vAlign w:val="bottom"/>
          </w:tcPr>
          <w:p>
            <w:pPr>
              <w:pStyle w:val="TableContents"/>
              <w:bidi w:val="0"/>
              <w:spacing w:before="0" w:after="283"/>
              <w:jc w:val="left"/>
              <w:rPr/>
            </w:pPr>
            <w:r>
              <w:rPr/>
              <w:t>  </w:t>
            </w:r>
          </w:p>
        </w:tc>
        <w:tc>
          <w:tcPr>
            <w:tcW w:w="3511"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1" w:type="dxa"/>
            <w:tcBorders/>
            <w:vAlign w:val="bottom"/>
          </w:tcPr>
          <w:p>
            <w:pPr>
              <w:pStyle w:val="TableContents"/>
              <w:bidi w:val="0"/>
              <w:spacing w:before="0" w:after="283"/>
              <w:jc w:val="left"/>
              <w:rPr/>
            </w:pPr>
            <w:r>
              <w:rPr/>
              <w:t> </w:t>
            </w:r>
          </w:p>
        </w:tc>
        <w:tc>
          <w:tcPr>
            <w:tcW w:w="1899" w:type="dxa"/>
            <w:tcBorders/>
          </w:tcPr>
          <w:p>
            <w:pPr>
              <w:pStyle w:val="TableContents"/>
              <w:bidi w:val="0"/>
              <w:spacing w:before="0" w:after="283"/>
              <w:jc w:val="center"/>
              <w:rPr/>
            </w:pPr>
            <w:r>
              <w:rPr/>
              <w:t>July 13,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564"/>
        <w:gridCol w:w="120"/>
        <w:gridCol w:w="3436"/>
        <w:gridCol w:w="200"/>
        <w:gridCol w:w="1885"/>
      </w:tblGrid>
      <w:tr>
        <w:trPr/>
        <w:tc>
          <w:tcPr>
            <w:tcW w:w="456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r>
      <w:tr>
        <w:trPr/>
        <w:tc>
          <w:tcPr>
            <w:tcW w:w="4564" w:type="dxa"/>
            <w:tcBorders/>
            <w:vAlign w:val="bottom"/>
          </w:tcPr>
          <w:p>
            <w:pPr>
              <w:pStyle w:val="TableContents"/>
              <w:bidi w:val="0"/>
              <w:spacing w:before="0" w:after="283"/>
              <w:jc w:val="center"/>
              <w:rPr>
                <w:b/>
              </w:rPr>
            </w:pPr>
            <w:r>
              <w:rPr>
                <w:b/>
              </w:rPr>
              <w:t>Signature</w:t>
            </w:r>
          </w:p>
        </w:tc>
        <w:tc>
          <w:tcPr>
            <w:tcW w:w="120" w:type="dxa"/>
            <w:tcBorders/>
            <w:vAlign w:val="bottom"/>
          </w:tcPr>
          <w:p>
            <w:pPr>
              <w:pStyle w:val="TableContents"/>
              <w:bidi w:val="0"/>
              <w:spacing w:before="0" w:after="283"/>
              <w:jc w:val="left"/>
              <w:rPr/>
            </w:pPr>
            <w:r>
              <w:rPr/>
              <w:t>  </w:t>
            </w:r>
          </w:p>
        </w:tc>
        <w:tc>
          <w:tcPr>
            <w:tcW w:w="3436" w:type="dxa"/>
            <w:tcBorders/>
            <w:vAlign w:val="bottom"/>
          </w:tcPr>
          <w:p>
            <w:pPr>
              <w:pStyle w:val="TableContents"/>
              <w:bidi w:val="0"/>
              <w:spacing w:before="0" w:after="283"/>
              <w:jc w:val="center"/>
              <w:rPr>
                <w:b/>
              </w:rPr>
            </w:pPr>
            <w:r>
              <w:rPr>
                <w:b/>
              </w:rPr>
              <w:t>Title</w:t>
            </w:r>
          </w:p>
        </w:tc>
        <w:tc>
          <w:tcPr>
            <w:tcW w:w="200" w:type="dxa"/>
            <w:tcBorders/>
            <w:vAlign w:val="bottom"/>
          </w:tcPr>
          <w:p>
            <w:pPr>
              <w:pStyle w:val="TableContents"/>
              <w:bidi w:val="0"/>
              <w:spacing w:before="0" w:after="283"/>
              <w:jc w:val="left"/>
              <w:rPr/>
            </w:pPr>
            <w:r>
              <w:rPr/>
              <w:t> </w:t>
            </w:r>
          </w:p>
        </w:tc>
        <w:tc>
          <w:tcPr>
            <w:tcW w:w="1885" w:type="dxa"/>
            <w:tcBorders/>
            <w:vAlign w:val="bottom"/>
          </w:tcPr>
          <w:p>
            <w:pPr>
              <w:pStyle w:val="TableContents"/>
              <w:bidi w:val="0"/>
              <w:spacing w:before="0" w:after="283"/>
              <w:jc w:val="center"/>
              <w:rPr>
                <w:b/>
              </w:rPr>
            </w:pPr>
            <w:r>
              <w:rPr>
                <w:b/>
              </w:rPr>
              <w:t>Date</w:t>
            </w:r>
          </w:p>
        </w:tc>
      </w:tr>
      <w:tr>
        <w:trPr>
          <w:trHeight w:val="240" w:hRule="atLeast"/>
        </w:trPr>
        <w:tc>
          <w:tcPr>
            <w:tcW w:w="4564" w:type="dxa"/>
            <w:tcBorders/>
            <w:vAlign w:val="center"/>
          </w:tcPr>
          <w:p>
            <w:pPr>
              <w:pStyle w:val="TableContents"/>
              <w:bidi w:val="0"/>
              <w:spacing w:before="0" w:after="283"/>
              <w:jc w:val="left"/>
              <w:rPr>
                <w:sz w:val="4"/>
                <w:szCs w:val="4"/>
              </w:rPr>
            </w:pPr>
            <w:r>
              <w:rPr>
                <w:sz w:val="4"/>
                <w:szCs w:val="4"/>
              </w:rPr>
            </w:r>
          </w:p>
        </w:tc>
        <w:tc>
          <w:tcPr>
            <w:tcW w:w="3556" w:type="dxa"/>
            <w:gridSpan w:val="2"/>
            <w:tcBorders/>
            <w:vAlign w:val="center"/>
          </w:tcPr>
          <w:p>
            <w:pPr>
              <w:pStyle w:val="TableContents"/>
              <w:bidi w:val="0"/>
              <w:spacing w:before="0" w:after="283"/>
              <w:jc w:val="left"/>
              <w:rPr>
                <w:sz w:val="4"/>
                <w:szCs w:val="4"/>
              </w:rPr>
            </w:pPr>
            <w:r>
              <w:rPr>
                <w:sz w:val="4"/>
                <w:szCs w:val="4"/>
              </w:rPr>
            </w:r>
          </w:p>
        </w:tc>
        <w:tc>
          <w:tcPr>
            <w:tcW w:w="2085" w:type="dxa"/>
            <w:gridSpan w:val="2"/>
            <w:tcBorders/>
            <w:vAlign w:val="center"/>
          </w:tcPr>
          <w:p>
            <w:pPr>
              <w:pStyle w:val="TableContents"/>
              <w:bidi w:val="0"/>
              <w:spacing w:before="0" w:after="283"/>
              <w:jc w:val="left"/>
              <w:rPr>
                <w:sz w:val="4"/>
                <w:szCs w:val="4"/>
              </w:rPr>
            </w:pPr>
            <w:r>
              <w:rPr>
                <w:sz w:val="4"/>
                <w:szCs w:val="4"/>
              </w:rPr>
            </w:r>
          </w:p>
        </w:tc>
      </w:tr>
      <w:tr>
        <w:trPr/>
        <w:tc>
          <w:tcPr>
            <w:tcW w:w="456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ELIZABETH NABEL</w:t>
            </w:r>
          </w:p>
          <w:p>
            <w:pPr>
              <w:pStyle w:val="TableContents"/>
              <w:bidi w:val="0"/>
              <w:spacing w:before="0" w:after="20"/>
              <w:jc w:val="center"/>
              <w:rPr>
                <w:rFonts w:ascii="Times New Roman" w:hAnsi="Times New Roman"/>
                <w:b/>
                <w:sz w:val="20"/>
              </w:rPr>
            </w:pPr>
            <w:r>
              <w:rPr>
                <w:rFonts w:ascii="Times New Roman" w:hAnsi="Times New Roman"/>
                <w:b/>
                <w:sz w:val="20"/>
              </w:rPr>
              <w:t>Elizabeth Nabel, M.D.</w:t>
            </w:r>
          </w:p>
        </w:tc>
        <w:tc>
          <w:tcPr>
            <w:tcW w:w="120" w:type="dxa"/>
            <w:tcBorders/>
            <w:vAlign w:val="bottom"/>
          </w:tcPr>
          <w:p>
            <w:pPr>
              <w:pStyle w:val="TableContents"/>
              <w:bidi w:val="0"/>
              <w:spacing w:before="0" w:after="283"/>
              <w:jc w:val="left"/>
              <w:rPr/>
            </w:pPr>
            <w:r>
              <w:rPr/>
              <w:t>  </w:t>
            </w:r>
          </w:p>
        </w:tc>
        <w:tc>
          <w:tcPr>
            <w:tcW w:w="3436"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0" w:type="dxa"/>
            <w:tcBorders/>
            <w:vAlign w:val="bottom"/>
          </w:tcPr>
          <w:p>
            <w:pPr>
              <w:pStyle w:val="TableContents"/>
              <w:bidi w:val="0"/>
              <w:spacing w:before="0" w:after="283"/>
              <w:jc w:val="left"/>
              <w:rPr/>
            </w:pPr>
            <w:r>
              <w:rPr/>
              <w:t> </w:t>
            </w:r>
          </w:p>
        </w:tc>
        <w:tc>
          <w:tcPr>
            <w:tcW w:w="1885" w:type="dxa"/>
            <w:tcBorders/>
          </w:tcPr>
          <w:p>
            <w:pPr>
              <w:pStyle w:val="TableContents"/>
              <w:bidi w:val="0"/>
              <w:spacing w:before="0" w:after="283"/>
              <w:jc w:val="center"/>
              <w:rPr/>
            </w:pPr>
            <w:r>
              <w:rPr/>
              <w:t>July 13, 2026</w:t>
            </w:r>
          </w:p>
        </w:tc>
      </w:tr>
      <w:tr>
        <w:trPr>
          <w:trHeight w:val="240" w:hRule="atLeast"/>
        </w:trPr>
        <w:tc>
          <w:tcPr>
            <w:tcW w:w="4564" w:type="dxa"/>
            <w:tcBorders/>
            <w:vAlign w:val="center"/>
          </w:tcPr>
          <w:p>
            <w:pPr>
              <w:pStyle w:val="TableContents"/>
              <w:bidi w:val="0"/>
              <w:spacing w:before="0" w:after="283"/>
              <w:jc w:val="left"/>
              <w:rPr>
                <w:sz w:val="4"/>
                <w:szCs w:val="4"/>
              </w:rPr>
            </w:pPr>
            <w:r>
              <w:rPr>
                <w:sz w:val="4"/>
                <w:szCs w:val="4"/>
              </w:rPr>
            </w:r>
          </w:p>
        </w:tc>
        <w:tc>
          <w:tcPr>
            <w:tcW w:w="3556" w:type="dxa"/>
            <w:gridSpan w:val="2"/>
            <w:tcBorders/>
            <w:vAlign w:val="center"/>
          </w:tcPr>
          <w:p>
            <w:pPr>
              <w:pStyle w:val="TableContents"/>
              <w:bidi w:val="0"/>
              <w:spacing w:before="0" w:after="283"/>
              <w:jc w:val="left"/>
              <w:rPr>
                <w:sz w:val="4"/>
                <w:szCs w:val="4"/>
              </w:rPr>
            </w:pPr>
            <w:r>
              <w:rPr>
                <w:sz w:val="4"/>
                <w:szCs w:val="4"/>
              </w:rPr>
            </w:r>
          </w:p>
        </w:tc>
        <w:tc>
          <w:tcPr>
            <w:tcW w:w="2085" w:type="dxa"/>
            <w:gridSpan w:val="2"/>
            <w:tcBorders/>
            <w:vAlign w:val="center"/>
          </w:tcPr>
          <w:p>
            <w:pPr>
              <w:pStyle w:val="TableContents"/>
              <w:bidi w:val="0"/>
              <w:spacing w:before="0" w:after="283"/>
              <w:jc w:val="left"/>
              <w:rPr>
                <w:sz w:val="4"/>
                <w:szCs w:val="4"/>
              </w:rPr>
            </w:pPr>
            <w:r>
              <w:rPr>
                <w:sz w:val="4"/>
                <w:szCs w:val="4"/>
              </w:rPr>
            </w:r>
          </w:p>
        </w:tc>
      </w:tr>
      <w:tr>
        <w:trPr/>
        <w:tc>
          <w:tcPr>
            <w:tcW w:w="456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SUMANT RAMACHANDRA</w:t>
            </w:r>
          </w:p>
          <w:p>
            <w:pPr>
              <w:pStyle w:val="TableContents"/>
              <w:bidi w:val="0"/>
              <w:spacing w:before="0" w:after="20"/>
              <w:jc w:val="center"/>
              <w:rPr>
                <w:rFonts w:ascii="Times New Roman" w:hAnsi="Times New Roman"/>
                <w:b/>
                <w:sz w:val="20"/>
              </w:rPr>
            </w:pPr>
            <w:r>
              <w:rPr>
                <w:rFonts w:ascii="Times New Roman" w:hAnsi="Times New Roman"/>
                <w:b/>
                <w:sz w:val="20"/>
              </w:rPr>
              <w:t>Sumant Ramachandra, M.D., Ph.D.</w:t>
            </w:r>
          </w:p>
        </w:tc>
        <w:tc>
          <w:tcPr>
            <w:tcW w:w="120" w:type="dxa"/>
            <w:tcBorders/>
            <w:vAlign w:val="bottom"/>
          </w:tcPr>
          <w:p>
            <w:pPr>
              <w:pStyle w:val="TableContents"/>
              <w:bidi w:val="0"/>
              <w:spacing w:before="0" w:after="283"/>
              <w:jc w:val="left"/>
              <w:rPr/>
            </w:pPr>
            <w:r>
              <w:rPr/>
              <w:t>  </w:t>
            </w:r>
          </w:p>
        </w:tc>
        <w:tc>
          <w:tcPr>
            <w:tcW w:w="3436"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0" w:type="dxa"/>
            <w:tcBorders/>
            <w:vAlign w:val="bottom"/>
          </w:tcPr>
          <w:p>
            <w:pPr>
              <w:pStyle w:val="TableContents"/>
              <w:bidi w:val="0"/>
              <w:spacing w:before="0" w:after="283"/>
              <w:jc w:val="left"/>
              <w:rPr/>
            </w:pPr>
            <w:r>
              <w:rPr/>
              <w:t> </w:t>
            </w:r>
          </w:p>
        </w:tc>
        <w:tc>
          <w:tcPr>
            <w:tcW w:w="1885" w:type="dxa"/>
            <w:tcBorders/>
          </w:tcPr>
          <w:p>
            <w:pPr>
              <w:pStyle w:val="TableContents"/>
              <w:bidi w:val="0"/>
              <w:spacing w:before="0" w:after="283"/>
              <w:jc w:val="center"/>
              <w:rPr/>
            </w:pPr>
            <w:r>
              <w:rPr/>
              <w:t>July 13, 2026</w:t>
            </w:r>
          </w:p>
        </w:tc>
      </w:tr>
      <w:tr>
        <w:trPr>
          <w:trHeight w:val="240" w:hRule="atLeast"/>
        </w:trPr>
        <w:tc>
          <w:tcPr>
            <w:tcW w:w="4564" w:type="dxa"/>
            <w:tcBorders/>
            <w:vAlign w:val="center"/>
          </w:tcPr>
          <w:p>
            <w:pPr>
              <w:pStyle w:val="TableContents"/>
              <w:bidi w:val="0"/>
              <w:spacing w:before="0" w:after="283"/>
              <w:jc w:val="left"/>
              <w:rPr>
                <w:sz w:val="4"/>
                <w:szCs w:val="4"/>
              </w:rPr>
            </w:pPr>
            <w:r>
              <w:rPr>
                <w:sz w:val="4"/>
                <w:szCs w:val="4"/>
              </w:rPr>
            </w:r>
          </w:p>
        </w:tc>
        <w:tc>
          <w:tcPr>
            <w:tcW w:w="3556" w:type="dxa"/>
            <w:gridSpan w:val="2"/>
            <w:tcBorders/>
            <w:vAlign w:val="center"/>
          </w:tcPr>
          <w:p>
            <w:pPr>
              <w:pStyle w:val="TableContents"/>
              <w:bidi w:val="0"/>
              <w:spacing w:before="0" w:after="283"/>
              <w:jc w:val="left"/>
              <w:rPr>
                <w:sz w:val="4"/>
                <w:szCs w:val="4"/>
              </w:rPr>
            </w:pPr>
            <w:r>
              <w:rPr>
                <w:sz w:val="4"/>
                <w:szCs w:val="4"/>
              </w:rPr>
            </w:r>
          </w:p>
        </w:tc>
        <w:tc>
          <w:tcPr>
            <w:tcW w:w="2085" w:type="dxa"/>
            <w:gridSpan w:val="2"/>
            <w:tcBorders/>
            <w:vAlign w:val="center"/>
          </w:tcPr>
          <w:p>
            <w:pPr>
              <w:pStyle w:val="TableContents"/>
              <w:bidi w:val="0"/>
              <w:spacing w:before="0" w:after="283"/>
              <w:jc w:val="left"/>
              <w:rPr>
                <w:sz w:val="4"/>
                <w:szCs w:val="4"/>
              </w:rPr>
            </w:pPr>
            <w:r>
              <w:rPr>
                <w:sz w:val="4"/>
                <w:szCs w:val="4"/>
              </w:rPr>
            </w:r>
          </w:p>
        </w:tc>
      </w:tr>
      <w:tr>
        <w:trPr/>
        <w:tc>
          <w:tcPr>
            <w:tcW w:w="456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WILLIAM RIEFLIN</w:t>
            </w:r>
          </w:p>
          <w:p>
            <w:pPr>
              <w:pStyle w:val="TableContents"/>
              <w:bidi w:val="0"/>
              <w:spacing w:before="0" w:after="20"/>
              <w:jc w:val="center"/>
              <w:rPr>
                <w:rFonts w:ascii="Times New Roman" w:hAnsi="Times New Roman"/>
                <w:b/>
                <w:sz w:val="20"/>
              </w:rPr>
            </w:pPr>
            <w:r>
              <w:rPr>
                <w:rFonts w:ascii="Times New Roman" w:hAnsi="Times New Roman"/>
                <w:b/>
                <w:sz w:val="20"/>
              </w:rPr>
              <w:t>William Rieflin</w:t>
            </w:r>
          </w:p>
        </w:tc>
        <w:tc>
          <w:tcPr>
            <w:tcW w:w="120" w:type="dxa"/>
            <w:tcBorders/>
            <w:vAlign w:val="bottom"/>
          </w:tcPr>
          <w:p>
            <w:pPr>
              <w:pStyle w:val="TableContents"/>
              <w:bidi w:val="0"/>
              <w:spacing w:before="0" w:after="283"/>
              <w:jc w:val="left"/>
              <w:rPr/>
            </w:pPr>
            <w:r>
              <w:rPr/>
              <w:t>  </w:t>
            </w:r>
          </w:p>
        </w:tc>
        <w:tc>
          <w:tcPr>
            <w:tcW w:w="3436"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0" w:type="dxa"/>
            <w:tcBorders/>
            <w:vAlign w:val="bottom"/>
          </w:tcPr>
          <w:p>
            <w:pPr>
              <w:pStyle w:val="TableContents"/>
              <w:bidi w:val="0"/>
              <w:spacing w:before="0" w:after="283"/>
              <w:jc w:val="left"/>
              <w:rPr/>
            </w:pPr>
            <w:r>
              <w:rPr/>
              <w:t> </w:t>
            </w:r>
          </w:p>
        </w:tc>
        <w:tc>
          <w:tcPr>
            <w:tcW w:w="1885" w:type="dxa"/>
            <w:tcBorders/>
          </w:tcPr>
          <w:p>
            <w:pPr>
              <w:pStyle w:val="TableContents"/>
              <w:bidi w:val="0"/>
              <w:spacing w:before="0" w:after="283"/>
              <w:jc w:val="center"/>
              <w:rPr/>
            </w:pPr>
            <w:r>
              <w:rPr/>
              <w:t>July 13,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Times New Roman" w:hAnsi="Times New Roman"/>
          <w:b/>
          <w:sz w:val="20"/>
        </w:rPr>
      </w:pPr>
      <w:bookmarkStart w:id="15" w:name="d53160dex51.htm"/>
      <w:bookmarkStart w:id="16" w:name="ksd53160dex51"/>
      <w:bookmarkEnd w:id="15"/>
      <w:bookmarkEnd w:id="16"/>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144905" cy="4502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1144905" cy="45021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Asa M. Henin</w:t>
            </w:r>
          </w:p>
          <w:p>
            <w:pPr>
              <w:pStyle w:val="TableContents"/>
              <w:bidi w:val="0"/>
              <w:spacing w:before="0" w:after="0"/>
              <w:jc w:val="left"/>
              <w:rPr>
                <w:rFonts w:ascii="Times New Roman" w:hAnsi="Times New Roman"/>
                <w:sz w:val="20"/>
              </w:rPr>
            </w:pPr>
            <w:r>
              <w:rPr>
                <w:rFonts w:ascii="Times New Roman" w:hAnsi="Times New Roman"/>
                <w:sz w:val="20"/>
              </w:rPr>
              <w:t>+1 858 550 6104</w:t>
            </w:r>
          </w:p>
          <w:p>
            <w:pPr>
              <w:pStyle w:val="TableContents"/>
              <w:bidi w:val="0"/>
              <w:spacing w:before="0" w:after="20"/>
              <w:jc w:val="left"/>
              <w:rPr>
                <w:rFonts w:ascii="Times New Roman" w:hAnsi="Times New Roman"/>
                <w:sz w:val="20"/>
              </w:rPr>
            </w:pPr>
            <w:r>
              <w:rPr>
                <w:rFonts w:ascii="Times New Roman" w:hAnsi="Times New Roman"/>
                <w:sz w:val="20"/>
              </w:rPr>
              <w:t>ahenin@cooley.com</w:t>
            </w:r>
          </w:p>
        </w:tc>
      </w:tr>
    </w:tbl>
    <w:p>
      <w:pPr>
        <w:pStyle w:val="TextBody"/>
        <w:bidi w:val="0"/>
        <w:spacing w:before="360" w:after="0"/>
        <w:jc w:val="left"/>
        <w:rPr>
          <w:rFonts w:ascii="Times New Roman" w:hAnsi="Times New Roman"/>
          <w:sz w:val="20"/>
        </w:rPr>
      </w:pPr>
      <w:r>
        <w:rPr>
          <w:rFonts w:ascii="Times New Roman" w:hAnsi="Times New Roman"/>
          <w:sz w:val="20"/>
        </w:rPr>
        <w:t xml:space="preserve">July 13, 2026 </w:t>
      </w:r>
    </w:p>
    <w:p>
      <w:pPr>
        <w:pStyle w:val="TextBody"/>
        <w:bidi w:val="0"/>
        <w:spacing w:before="240" w:after="0"/>
        <w:jc w:val="left"/>
        <w:rPr>
          <w:rFonts w:ascii="Times New Roman" w:hAnsi="Times New Roman"/>
          <w:sz w:val="20"/>
        </w:rPr>
      </w:pPr>
      <w:r>
        <w:rPr>
          <w:rFonts w:ascii="Times New Roman" w:hAnsi="Times New Roman"/>
          <w:sz w:val="20"/>
        </w:rPr>
        <w:t xml:space="preserve">Lyell Immunopharma, Inc. </w:t>
      </w:r>
    </w:p>
    <w:p>
      <w:pPr>
        <w:pStyle w:val="TextBody"/>
        <w:bidi w:val="0"/>
        <w:spacing w:before="0" w:after="0"/>
        <w:jc w:val="left"/>
        <w:rPr>
          <w:rFonts w:ascii="Times New Roman" w:hAnsi="Times New Roman"/>
          <w:sz w:val="20"/>
        </w:rPr>
      </w:pPr>
      <w:r>
        <w:rPr>
          <w:rFonts w:ascii="Times New Roman" w:hAnsi="Times New Roman"/>
          <w:sz w:val="20"/>
        </w:rPr>
        <w:t xml:space="preserve">201 Haskins Way, </w:t>
      </w:r>
    </w:p>
    <w:p>
      <w:pPr>
        <w:pStyle w:val="TextBody"/>
        <w:bidi w:val="0"/>
        <w:spacing w:before="0" w:after="0"/>
        <w:jc w:val="left"/>
        <w:rPr>
          <w:rFonts w:ascii="Times New Roman" w:hAnsi="Times New Roman"/>
          <w:sz w:val="20"/>
        </w:rPr>
      </w:pPr>
      <w:r>
        <w:rPr>
          <w:rFonts w:ascii="Times New Roman" w:hAnsi="Times New Roman"/>
          <w:sz w:val="20"/>
        </w:rPr>
        <w:t xml:space="preserve">South San Francisco, California 94080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Lyell Immunopharma, Inc., a Delaware corporation (the “</w:t>
      </w:r>
      <w:r>
        <w:rPr>
          <w:rFonts w:ascii="Times New Roman" w:hAnsi="Times New Roman"/>
          <w:b/>
          <w:i/>
          <w:sz w:val="20"/>
        </w:rPr>
        <w:t>Company</w:t>
      </w:r>
      <w:r>
        <w:rPr>
          <w:rFonts w:ascii="Times New Roman" w:hAnsi="Times New Roman"/>
          <w:sz w:val="20"/>
        </w:rPr>
        <w:t>”), in connection with the filing by the Company of a registration statement on Form S-3 (the “</w:t>
      </w:r>
      <w:r>
        <w:rPr>
          <w:rFonts w:ascii="Times New Roman" w:hAnsi="Times New Roman"/>
          <w:b/>
          <w:i/>
          <w:sz w:val="20"/>
        </w:rPr>
        <w:t>Registration Statement</w:t>
      </w:r>
      <w:r>
        <w:rPr>
          <w:rFonts w:ascii="Times New Roman" w:hAnsi="Times New Roman"/>
          <w:sz w:val="20"/>
        </w:rPr>
        <w:t>”) with the Securities and Exchange Commission (the “</w:t>
      </w:r>
      <w:r>
        <w:rPr>
          <w:rFonts w:ascii="Times New Roman" w:hAnsi="Times New Roman"/>
          <w:b/>
          <w:i/>
          <w:sz w:val="20"/>
        </w:rPr>
        <w:t>Commission</w:t>
      </w:r>
      <w:r>
        <w:rPr>
          <w:rFonts w:ascii="Times New Roman" w:hAnsi="Times New Roman"/>
          <w:sz w:val="20"/>
        </w:rPr>
        <w:t>”) under the Securities Act of 1933, as amended (the “</w:t>
      </w:r>
      <w:r>
        <w:rPr>
          <w:rFonts w:ascii="Times New Roman" w:hAnsi="Times New Roman"/>
          <w:b/>
          <w:i/>
          <w:sz w:val="20"/>
        </w:rPr>
        <w:t>Securities Act</w:t>
      </w:r>
      <w:r>
        <w:rPr>
          <w:rFonts w:ascii="Times New Roman" w:hAnsi="Times New Roman"/>
          <w:sz w:val="20"/>
        </w:rPr>
        <w:t>”), including a related prospectus included in the Registration Statement (the “</w:t>
      </w:r>
      <w:r>
        <w:rPr>
          <w:rFonts w:ascii="Times New Roman" w:hAnsi="Times New Roman"/>
          <w:b/>
          <w:i/>
          <w:sz w:val="20"/>
        </w:rPr>
        <w:t>Prospectus</w:t>
      </w:r>
      <w:r>
        <w:rPr>
          <w:rFonts w:ascii="Times New Roman" w:hAnsi="Times New Roman"/>
          <w:sz w:val="20"/>
        </w:rPr>
        <w:t>”), covering the registration for resale of 1,100,000 shares of the common stock, $0.0001 par value, of the Company (the “</w:t>
      </w:r>
      <w:r>
        <w:rPr>
          <w:rFonts w:ascii="Times New Roman" w:hAnsi="Times New Roman"/>
          <w:b/>
          <w:i/>
          <w:sz w:val="20"/>
        </w:rPr>
        <w:t>Shares</w:t>
      </w:r>
      <w:r>
        <w:rPr>
          <w:rFonts w:ascii="Times New Roman" w:hAnsi="Times New Roman"/>
          <w:sz w:val="20"/>
        </w:rPr>
        <w:t>”). The Shares were issued by the Company pursuant to that certain Exclusive License Agreement, by and among the Company, Innovative Cellular Therapeutics Holdings Limited, and Innovative Cellular Therapeutics, Inc., dated November 6, 2025 (the “</w:t>
      </w:r>
      <w:r>
        <w:rPr>
          <w:rFonts w:ascii="Times New Roman" w:hAnsi="Times New Roman"/>
          <w:b/>
          <w:i/>
          <w:sz w:val="20"/>
        </w:rPr>
        <w:t>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the Registration Statement, the Prospectus, the Agreement, the Company’s certificate of incorporation and bylaws, each as currently in effect, and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and in reliance thereon, and subject to the assumptions, qualifications, limitations and exceptions set forth herein, we are of the opinion that the Shares are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10265 SCIENCE CENTER DRIVE SAN DIEGO, CA 92121-1117 </w:t>
      </w:r>
    </w:p>
    <w:p>
      <w:pPr>
        <w:pStyle w:val="TextBody"/>
        <w:bidi w:val="0"/>
        <w:spacing w:before="0" w:after="0"/>
        <w:jc w:val="center"/>
        <w:rPr>
          <w:rFonts w:ascii="Times New Roman" w:hAnsi="Times New Roman"/>
          <w:sz w:val="20"/>
        </w:rPr>
      </w:pPr>
      <w:r>
        <w:rPr>
          <w:rFonts w:ascii="Times New Roman" w:hAnsi="Times New Roman"/>
          <w:sz w:val="20"/>
        </w:rPr>
        <w:t xml:space="preserve">T: +1 858 550-6000 F: +1 858 550-6420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144905" cy="4502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6"/>
                    <a:stretch>
                      <a:fillRect/>
                    </a:stretch>
                  </pic:blipFill>
                  <pic:spPr bwMode="auto">
                    <a:xfrm>
                      <a:off x="0" y="0"/>
                      <a:ext cx="1144905" cy="45021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Lyell Immunopharma, Inc. </w:t>
      </w:r>
    </w:p>
    <w:p>
      <w:pPr>
        <w:pStyle w:val="TextBody"/>
        <w:bidi w:val="0"/>
        <w:spacing w:before="0" w:after="0"/>
        <w:jc w:val="left"/>
        <w:rPr>
          <w:rFonts w:ascii="Times New Roman" w:hAnsi="Times New Roman"/>
          <w:sz w:val="20"/>
        </w:rPr>
      </w:pPr>
      <w:r>
        <w:rPr>
          <w:rFonts w:ascii="Times New Roman" w:hAnsi="Times New Roman"/>
          <w:sz w:val="20"/>
        </w:rPr>
        <w:t xml:space="preserve">July 13, 2026 </w:t>
      </w:r>
    </w:p>
    <w:p>
      <w:pPr>
        <w:pStyle w:val="TextBody"/>
        <w:bidi w:val="0"/>
        <w:spacing w:before="0" w:after="0"/>
        <w:jc w:val="left"/>
        <w:rPr>
          <w:rFonts w:ascii="Times New Roman" w:hAnsi="Times New Roman"/>
          <w:sz w:val="20"/>
        </w:rPr>
      </w:pPr>
      <w:r>
        <w:rPr>
          <w:rFonts w:ascii="Times New Roman" w:hAnsi="Times New Roman"/>
          <w:sz w:val="20"/>
        </w:rPr>
        <w:t xml:space="preserve">Page Two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hereby consent to the reference to our firm under the caption “Legal Matters” in the Prospectus and to the filing of this opinion as an exhibit to the Registration Statement. In giving such consents, we do not thereby admit that we are in the category of persons whose consent is required under Section 7 of the Securities Act or the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w:t>
            </w:r>
            <w:r>
              <w:rPr>
                <w:b/>
                <w:sz w:val="20"/>
              </w:rPr>
              <w:t>OOLEY</w:t>
            </w:r>
            <w:r>
              <w:rPr>
                <w:b/>
              </w:rPr>
              <w:t xml:space="preserve"> LLP</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Asa M. Henin</w:t>
            </w:r>
            <w:r>
              <w:rPr>
                <w:u w:val="single"/>
              </w:rPr>
              <w:t xml:space="preserve"> </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pPr>
            <w:r>
              <w:rPr/>
              <w:t>Asa M. Henin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10265 SCIENCE CENTER DRIVE SAN DIEGO, CA 92121-1117 </w:t>
      </w:r>
    </w:p>
    <w:p>
      <w:pPr>
        <w:pStyle w:val="TextBody"/>
        <w:bidi w:val="0"/>
        <w:spacing w:before="0" w:after="0"/>
        <w:jc w:val="center"/>
        <w:rPr>
          <w:rFonts w:ascii="Times New Roman" w:hAnsi="Times New Roman"/>
          <w:sz w:val="20"/>
        </w:rPr>
      </w:pPr>
      <w:r>
        <w:rPr>
          <w:rFonts w:ascii="Times New Roman" w:hAnsi="Times New Roman"/>
          <w:sz w:val="20"/>
        </w:rPr>
        <w:t xml:space="preserve">T: +1 858 550-6000 F: +1 858 550-6420 COOLEY.COM </w:t>
      </w:r>
    </w:p>
    <w:p>
      <w:pPr>
        <w:pStyle w:val="TextBody"/>
        <w:bidi w:val="0"/>
        <w:spacing w:before="0" w:after="0"/>
        <w:jc w:val="right"/>
        <w:rPr>
          <w:rFonts w:ascii="Times New Roman" w:hAnsi="Times New Roman"/>
          <w:b/>
          <w:sz w:val="20"/>
        </w:rPr>
      </w:pPr>
      <w:bookmarkStart w:id="17" w:name="d53160dex231.htm"/>
      <w:bookmarkStart w:id="18" w:name="ksd53160dex231"/>
      <w:bookmarkEnd w:id="17"/>
      <w:bookmarkEnd w:id="18"/>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in the Registration Statement (Form S-3) and related Prospectus of Lyell Immunopharma, Inc. for the registration of 1,100,000 shares of its common stock and to the incorporation by reference therein of our report dated March 12, 2026, with respect to the consolidated financial statements of Lyell Immunopharma, Inc., included in its Annual Report (Form 10-K) for the year ended December 31, 2025,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Seattle, Washington </w:t>
      </w:r>
    </w:p>
    <w:p>
      <w:pPr>
        <w:pStyle w:val="TextBody"/>
        <w:bidi w:val="0"/>
        <w:spacing w:before="0" w:after="0"/>
        <w:jc w:val="left"/>
        <w:rPr>
          <w:rFonts w:ascii="Times New Roman" w:hAnsi="Times New Roman"/>
          <w:sz w:val="20"/>
        </w:rPr>
      </w:pPr>
      <w:r>
        <w:rPr>
          <w:rFonts w:ascii="Times New Roman" w:hAnsi="Times New Roman"/>
          <w:sz w:val="20"/>
        </w:rPr>
        <w:t xml:space="preserve">July 13, 2026 </w:t>
      </w:r>
    </w:p>
    <w:p>
      <w:pPr>
        <w:pStyle w:val="Normal"/>
        <w:bidi w:val="0"/>
        <w:spacing w:before="0" w:after="0"/>
        <w:jc w:val="left"/>
        <w:rPr>
          <w:sz w:val="4"/>
          <w:szCs w:val="4"/>
        </w:rPr>
      </w:pPr>
      <w:r>
        <w:rPr>
          <w:sz w:val="4"/>
          <w:szCs w:val="4"/>
        </w:rPr>
      </w:r>
      <w:bookmarkStart w:id="19" w:name="d53160dexfilingfees.htm"/>
      <w:bookmarkStart w:id="20" w:name="ksd53160dexfilingfees"/>
      <w:bookmarkStart w:id="21" w:name="d53160dexfilingfees.htm"/>
      <w:bookmarkStart w:id="22" w:name="ksd53160dexfilingfees"/>
      <w:bookmarkEnd w:id="21"/>
      <w:bookmarkEnd w:id="22"/>
      <w:r>
        <w:br w:type="page"/>
      </w:r>
    </w:p>
    <w:tbl>
      <w:tblPr>
        <w:tblW w:w="3578" w:type="dxa"/>
        <w:jc w:val="left"/>
        <w:tblInd w:w="0" w:type="dxa"/>
        <w:tblLayout w:type="fixed"/>
        <w:tblCellMar>
          <w:top w:w="28" w:type="dxa"/>
          <w:left w:w="28" w:type="dxa"/>
          <w:bottom w:w="28" w:type="dxa"/>
          <w:right w:w="28" w:type="dxa"/>
        </w:tblCellMar>
      </w:tblPr>
      <w:tblGrid>
        <w:gridCol w:w="3424"/>
        <w:gridCol w:w="154"/>
      </w:tblGrid>
      <w:tr>
        <w:trPr/>
        <w:tc>
          <w:tcPr>
            <w:tcW w:w="357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4"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4" w:type="dxa"/>
            <w:tcBorders/>
            <w:vAlign w:val="center"/>
          </w:tcPr>
          <w:p>
            <w:pPr>
              <w:pStyle w:val="TableContents"/>
              <w:bidi w:val="0"/>
              <w:spacing w:before="0" w:after="283"/>
              <w:jc w:val="left"/>
              <w:rPr>
                <w:b/>
              </w:rPr>
            </w:pPr>
            <w:r>
              <w:rPr>
                <w:b/>
              </w:rPr>
              <w:t xml:space="preserve">Lyell Immunopharma,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3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1,100,000 </w:t>
            </w:r>
          </w:p>
        </w:tc>
        <w:tc>
          <w:tcPr>
            <w:tcW w:w="1156" w:type="dxa"/>
            <w:tcBorders/>
            <w:shd w:fill="E7E7E2" w:val="clear"/>
            <w:vAlign w:val="center"/>
          </w:tcPr>
          <w:p>
            <w:pPr>
              <w:pStyle w:val="TableContents"/>
              <w:bidi w:val="0"/>
              <w:spacing w:before="0" w:after="283"/>
              <w:jc w:val="right"/>
              <w:rPr/>
            </w:pPr>
            <w:r>
              <w:rPr/>
              <w:t xml:space="preserve">$ 14.63 </w:t>
            </w:r>
          </w:p>
        </w:tc>
        <w:tc>
          <w:tcPr>
            <w:tcW w:w="1666" w:type="dxa"/>
            <w:tcBorders/>
            <w:shd w:fill="E7E7E2" w:val="clear"/>
            <w:vAlign w:val="center"/>
          </w:tcPr>
          <w:p>
            <w:pPr>
              <w:pStyle w:val="TableContents"/>
              <w:bidi w:val="0"/>
              <w:spacing w:before="0" w:after="283"/>
              <w:jc w:val="right"/>
              <w:rPr/>
            </w:pPr>
            <w:r>
              <w:rPr/>
              <w:t xml:space="preserve">$ 16,093,000.00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$ 2,222.45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23" w:name="MaxAggtOfferingPrice"/>
            <w:bookmarkEnd w:id="23"/>
            <w:r>
              <w:rPr/>
              <w:t xml:space="preserve">$ 16,093,000.00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4" w:name="TotalFeeAmt"/>
            <w:bookmarkEnd w:id="24"/>
            <w:r>
              <w:rPr/>
              <w:t xml:space="preserve">$ 2,222.45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5" w:name="TotalPreviouslyPaidAmt"/>
            <w:bookmarkEnd w:id="2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6" w:name="TotalOffsetAmt"/>
            <w:bookmarkEnd w:id="2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 w:name="NetFeeAmt"/>
            <w:bookmarkEnd w:id="27"/>
            <w:r>
              <w:rPr/>
              <w:t xml:space="preserve">$ 2,222.45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7"/>
        <w:gridCol w:w="8705"/>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Consists of an aggregate of 1,100,000 shares of the registrant's common stock, all of which were acquired by the selling stockholder on July 10, 2026 upon the achievement of certain milestones as partial consideration for an exclusive license agreement. Pursuant to Rule 416 under the Securities Act of 1933, as amended, the shares of registrant's common stock being registered hereunder include such indeterminate number of shares of common stock as may be issuable with respect to the shares of common stock being registered hereunder as a result of stock splits, stock dividends or similar transactions. Pursuant to Rule 457(c), calculated on the basis of the average of the high and low prices per share of common stock reported on The Nasdaq Stock Market on July 10, 2026.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806952/000162828026017253/lyel-20251231.htm" TargetMode="External"/><Relationship Id="rId4" Type="http://schemas.openxmlformats.org/officeDocument/2006/relationships/hyperlink" Target="http://www.sec.gov/Archives/edgar/data/../../../ix?doc=/Archives/edgar/data/1806952/000114036126016686/ny20068007x1_def14a.htm" TargetMode="External"/><Relationship Id="rId5" Type="http://schemas.openxmlformats.org/officeDocument/2006/relationships/hyperlink" Target="http://www.sec.gov/Archives/edgar/data/../../../ix?doc=/Archives/edgar/data/0001806952/000162828026031284/lyel-20260331.htm" TargetMode="External"/><Relationship Id="rId6" Type="http://schemas.openxmlformats.org/officeDocument/2006/relationships/hyperlink" Target="http://www.sec.gov/Archives/edgar/data/../../../ix?doc=/Archives/edgar/data/1806952/000119312526097615/d84786d8k.htm" TargetMode="External"/><Relationship Id="rId7" Type="http://schemas.openxmlformats.org/officeDocument/2006/relationships/hyperlink" Target="http://www.sec.gov/Archives/edgar/data/../../../ix?doc=/Archives/edgar/data/0001806952/000119312526271071/d102015d8k.htm" TargetMode="External"/><Relationship Id="rId8" Type="http://schemas.openxmlformats.org/officeDocument/2006/relationships/hyperlink" Target="http://www.sec.gov/Archives/edgar/data/1806952/000162828023005572/ex-43_descriptionxofxsecur.htm" TargetMode="External"/><Relationship Id="rId9" Type="http://schemas.openxmlformats.org/officeDocument/2006/relationships/hyperlink" Target="http://www.sec.gov/Archives/edgar/data/1806952/000119312524242808/d881076dex21.htm" TargetMode="External"/><Relationship Id="rId10" Type="http://schemas.openxmlformats.org/officeDocument/2006/relationships/hyperlink" Target="http://www.sec.gov/Archives/edgar/data/1806952/000119312521195237/d136326dex41.htm" TargetMode="External"/><Relationship Id="rId11" Type="http://schemas.openxmlformats.org/officeDocument/2006/relationships/hyperlink" Target="http://www.sec.gov/Archives/edgar/data/1806952/000119312525129448/d944707dex31.htm" TargetMode="External"/><Relationship Id="rId12" Type="http://schemas.openxmlformats.org/officeDocument/2006/relationships/hyperlink" Target="http://www.sec.gov/Archives/edgar/data/1806952/000119312525309621/d13123dex31.htm" TargetMode="External"/><Relationship Id="rId13" Type="http://schemas.openxmlformats.org/officeDocument/2006/relationships/hyperlink" Target="http://www.sec.gov/Archives/edgar/data/1806952/000180695225000008/lyel-20250630x10qxexx41.htm" TargetMode="External"/><Relationship Id="rId14" Type="http://schemas.openxmlformats.org/officeDocument/2006/relationships/hyperlink" Target="http://www.sec.gov/Archives/edgar/data/1806952/000119312525309779/d72300dex45.htm" TargetMode="External"/><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10081</Words>
  <Characters>54338</Characters>
  <CharactersWithSpaces>64727</CharactersWithSpaces>
  <Paragraphs>920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